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09052E6E" w:rsidR="00A50A8B" w:rsidRDefault="00A50A8B" w:rsidP="00A50A8B">
      <w:pPr>
        <w:pStyle w:val="OMBInfo"/>
      </w:pP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C05E4FE"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2E0445">
        <w:rPr>
          <w:sz w:val="22"/>
        </w:rPr>
        <w:t>Sara Campbell</w:t>
      </w:r>
    </w:p>
    <w:p w14:paraId="7FFF41C1" w14:textId="0E4A3537"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2E0445">
        <w:rPr>
          <w:sz w:val="22"/>
        </w:rPr>
        <w:t>SACAMPBELL</w:t>
      </w:r>
    </w:p>
    <w:p w14:paraId="74873D9A" w14:textId="77F7BEAC"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2E0445">
        <w:rPr>
          <w:sz w:val="22"/>
        </w:rPr>
        <w:t xml:space="preserve"> Associate Profession, Director Graduate Program in Kinesiology and Applied Physiology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2E0445" w:rsidRPr="00D3779E" w14:paraId="5CD50646" w14:textId="77777777" w:rsidTr="008A3C0A">
        <w:trPr>
          <w:cantSplit/>
          <w:trHeight w:val="395"/>
        </w:trPr>
        <w:tc>
          <w:tcPr>
            <w:tcW w:w="5220" w:type="dxa"/>
            <w:tcBorders>
              <w:left w:val="nil"/>
            </w:tcBorders>
          </w:tcPr>
          <w:p w14:paraId="3B0C531B" w14:textId="07A5C597" w:rsidR="002E0445" w:rsidRPr="002E0445" w:rsidRDefault="002E0445" w:rsidP="002E0445">
            <w:pPr>
              <w:pStyle w:val="FormFieldCaption"/>
              <w:spacing w:before="20" w:after="20"/>
              <w:rPr>
                <w:sz w:val="22"/>
                <w:szCs w:val="22"/>
              </w:rPr>
            </w:pPr>
            <w:r w:rsidRPr="002E0445">
              <w:rPr>
                <w:sz w:val="22"/>
                <w:szCs w:val="22"/>
              </w:rPr>
              <w:t>Bloomsburg University of PA, Bloomsburg, PA</w:t>
            </w:r>
          </w:p>
        </w:tc>
        <w:tc>
          <w:tcPr>
            <w:tcW w:w="1440" w:type="dxa"/>
          </w:tcPr>
          <w:p w14:paraId="62DD05C1" w14:textId="7D99D511" w:rsidR="002E0445" w:rsidRPr="002E0445" w:rsidRDefault="002E0445" w:rsidP="002E0445">
            <w:pPr>
              <w:pStyle w:val="FormFieldCaption"/>
              <w:spacing w:before="20" w:after="20"/>
              <w:jc w:val="center"/>
              <w:rPr>
                <w:sz w:val="22"/>
                <w:szCs w:val="22"/>
              </w:rPr>
            </w:pPr>
            <w:r w:rsidRPr="002E0445">
              <w:rPr>
                <w:sz w:val="22"/>
                <w:szCs w:val="22"/>
              </w:rPr>
              <w:t>BS</w:t>
            </w:r>
          </w:p>
        </w:tc>
        <w:tc>
          <w:tcPr>
            <w:tcW w:w="1584" w:type="dxa"/>
          </w:tcPr>
          <w:p w14:paraId="543299E0" w14:textId="7947A3E4" w:rsidR="002E0445" w:rsidRPr="002E0445" w:rsidRDefault="002E0445" w:rsidP="002E0445">
            <w:pPr>
              <w:pStyle w:val="FormFieldCaption"/>
              <w:spacing w:before="20" w:after="20"/>
              <w:jc w:val="center"/>
              <w:rPr>
                <w:sz w:val="22"/>
                <w:szCs w:val="22"/>
              </w:rPr>
            </w:pPr>
            <w:r w:rsidRPr="002E0445">
              <w:rPr>
                <w:sz w:val="22"/>
                <w:szCs w:val="22"/>
              </w:rPr>
              <w:t xml:space="preserve"> </w:t>
            </w:r>
            <w:r w:rsidR="00033625">
              <w:rPr>
                <w:sz w:val="22"/>
                <w:szCs w:val="22"/>
              </w:rPr>
              <w:t>6/</w:t>
            </w:r>
            <w:r w:rsidRPr="002E0445">
              <w:rPr>
                <w:sz w:val="22"/>
                <w:szCs w:val="22"/>
              </w:rPr>
              <w:t>1999</w:t>
            </w:r>
          </w:p>
        </w:tc>
        <w:tc>
          <w:tcPr>
            <w:tcW w:w="2592" w:type="dxa"/>
            <w:tcBorders>
              <w:right w:val="nil"/>
            </w:tcBorders>
          </w:tcPr>
          <w:p w14:paraId="7BC5582F" w14:textId="5BB49B69" w:rsidR="002E0445" w:rsidRPr="002E0445" w:rsidRDefault="002E0445" w:rsidP="002E0445">
            <w:pPr>
              <w:pStyle w:val="FormFieldCaption"/>
              <w:spacing w:before="20" w:after="20"/>
              <w:rPr>
                <w:sz w:val="22"/>
                <w:szCs w:val="22"/>
              </w:rPr>
            </w:pPr>
            <w:r w:rsidRPr="002E0445">
              <w:rPr>
                <w:sz w:val="22"/>
                <w:szCs w:val="22"/>
              </w:rPr>
              <w:t>Exercise Science/Biology</w:t>
            </w:r>
          </w:p>
        </w:tc>
      </w:tr>
      <w:tr w:rsidR="002E0445" w:rsidRPr="00D3779E" w14:paraId="1515F345" w14:textId="77777777" w:rsidTr="008A3C0A">
        <w:trPr>
          <w:cantSplit/>
          <w:trHeight w:val="395"/>
        </w:trPr>
        <w:tc>
          <w:tcPr>
            <w:tcW w:w="5220" w:type="dxa"/>
            <w:tcBorders>
              <w:left w:val="nil"/>
            </w:tcBorders>
          </w:tcPr>
          <w:p w14:paraId="7DED23E7" w14:textId="3ABB0222" w:rsidR="002E0445" w:rsidRPr="002E0445" w:rsidRDefault="002E0445" w:rsidP="002E0445">
            <w:pPr>
              <w:pStyle w:val="FormFieldCaption"/>
              <w:spacing w:before="20" w:after="20"/>
              <w:rPr>
                <w:sz w:val="22"/>
                <w:szCs w:val="22"/>
              </w:rPr>
            </w:pPr>
            <w:r w:rsidRPr="002E0445">
              <w:rPr>
                <w:sz w:val="22"/>
                <w:szCs w:val="22"/>
              </w:rPr>
              <w:t>Bloomsburg University of PA, Bloomsburg, PA</w:t>
            </w:r>
          </w:p>
        </w:tc>
        <w:tc>
          <w:tcPr>
            <w:tcW w:w="1440" w:type="dxa"/>
          </w:tcPr>
          <w:p w14:paraId="0D874BFC" w14:textId="334D96E9" w:rsidR="002E0445" w:rsidRPr="002E0445" w:rsidRDefault="002E0445" w:rsidP="002E0445">
            <w:pPr>
              <w:pStyle w:val="FormFieldCaption"/>
              <w:spacing w:before="20" w:after="20"/>
              <w:jc w:val="center"/>
              <w:rPr>
                <w:sz w:val="22"/>
                <w:szCs w:val="22"/>
              </w:rPr>
            </w:pPr>
            <w:r w:rsidRPr="002E0445">
              <w:rPr>
                <w:sz w:val="22"/>
                <w:szCs w:val="22"/>
              </w:rPr>
              <w:t>MS</w:t>
            </w:r>
          </w:p>
        </w:tc>
        <w:tc>
          <w:tcPr>
            <w:tcW w:w="1584" w:type="dxa"/>
          </w:tcPr>
          <w:p w14:paraId="1A7AA7CA" w14:textId="4C6755D1" w:rsidR="002E0445" w:rsidRPr="002E0445" w:rsidRDefault="00033625" w:rsidP="002E0445">
            <w:pPr>
              <w:pStyle w:val="FormFieldCaption"/>
              <w:spacing w:before="20" w:after="20"/>
              <w:jc w:val="center"/>
              <w:rPr>
                <w:sz w:val="22"/>
                <w:szCs w:val="22"/>
              </w:rPr>
            </w:pPr>
            <w:r>
              <w:rPr>
                <w:sz w:val="22"/>
                <w:szCs w:val="22"/>
              </w:rPr>
              <w:t>6/</w:t>
            </w:r>
            <w:r w:rsidR="002E0445" w:rsidRPr="002E0445">
              <w:rPr>
                <w:sz w:val="22"/>
                <w:szCs w:val="22"/>
              </w:rPr>
              <w:t>2001</w:t>
            </w:r>
          </w:p>
        </w:tc>
        <w:tc>
          <w:tcPr>
            <w:tcW w:w="2592" w:type="dxa"/>
            <w:tcBorders>
              <w:right w:val="nil"/>
            </w:tcBorders>
          </w:tcPr>
          <w:p w14:paraId="4CC74E5C" w14:textId="0D627367" w:rsidR="002E0445" w:rsidRPr="002E0445" w:rsidRDefault="002E0445" w:rsidP="002E0445">
            <w:pPr>
              <w:pStyle w:val="FormFieldCaption"/>
              <w:spacing w:before="20" w:after="20"/>
              <w:rPr>
                <w:sz w:val="22"/>
                <w:szCs w:val="22"/>
              </w:rPr>
            </w:pPr>
            <w:r w:rsidRPr="002E0445">
              <w:rPr>
                <w:sz w:val="22"/>
                <w:szCs w:val="22"/>
              </w:rPr>
              <w:t>Exercise Science</w:t>
            </w:r>
          </w:p>
        </w:tc>
      </w:tr>
      <w:tr w:rsidR="002E0445" w:rsidRPr="00D3779E" w14:paraId="51E27C1C" w14:textId="77777777" w:rsidTr="008A3C0A">
        <w:trPr>
          <w:cantSplit/>
          <w:trHeight w:val="395"/>
        </w:trPr>
        <w:tc>
          <w:tcPr>
            <w:tcW w:w="5220" w:type="dxa"/>
            <w:tcBorders>
              <w:left w:val="nil"/>
            </w:tcBorders>
          </w:tcPr>
          <w:p w14:paraId="66BC8FF0" w14:textId="14F1E6F9" w:rsidR="002E0445" w:rsidRPr="002E0445" w:rsidRDefault="002E0445" w:rsidP="002E0445">
            <w:pPr>
              <w:pStyle w:val="FormFieldCaption"/>
              <w:spacing w:before="20" w:after="20"/>
              <w:rPr>
                <w:sz w:val="22"/>
                <w:szCs w:val="22"/>
              </w:rPr>
            </w:pPr>
            <w:r w:rsidRPr="002E0445">
              <w:rPr>
                <w:sz w:val="22"/>
                <w:szCs w:val="22"/>
              </w:rPr>
              <w:t>Florida State University, Tallahassee, FL</w:t>
            </w:r>
          </w:p>
        </w:tc>
        <w:tc>
          <w:tcPr>
            <w:tcW w:w="1440" w:type="dxa"/>
          </w:tcPr>
          <w:p w14:paraId="6AEADABA" w14:textId="1F36ACE9" w:rsidR="002E0445" w:rsidRPr="002E0445" w:rsidRDefault="002E0445" w:rsidP="002E0445">
            <w:pPr>
              <w:pStyle w:val="FormFieldCaption"/>
              <w:spacing w:before="20" w:after="20"/>
              <w:jc w:val="center"/>
              <w:rPr>
                <w:sz w:val="22"/>
                <w:szCs w:val="22"/>
              </w:rPr>
            </w:pPr>
            <w:r w:rsidRPr="002E0445">
              <w:rPr>
                <w:sz w:val="22"/>
                <w:szCs w:val="22"/>
              </w:rPr>
              <w:t>PhD</w:t>
            </w:r>
          </w:p>
        </w:tc>
        <w:tc>
          <w:tcPr>
            <w:tcW w:w="1584" w:type="dxa"/>
          </w:tcPr>
          <w:p w14:paraId="4ED60B07" w14:textId="335413A9" w:rsidR="002E0445" w:rsidRPr="002E0445" w:rsidRDefault="00033625" w:rsidP="002E0445">
            <w:pPr>
              <w:pStyle w:val="FormFieldCaption"/>
              <w:spacing w:before="20" w:after="20"/>
              <w:jc w:val="center"/>
              <w:rPr>
                <w:sz w:val="22"/>
                <w:szCs w:val="22"/>
              </w:rPr>
            </w:pPr>
            <w:r>
              <w:rPr>
                <w:sz w:val="22"/>
                <w:szCs w:val="22"/>
              </w:rPr>
              <w:t>6/</w:t>
            </w:r>
            <w:r w:rsidR="002E0445" w:rsidRPr="002E0445">
              <w:rPr>
                <w:sz w:val="22"/>
                <w:szCs w:val="22"/>
              </w:rPr>
              <w:t>2007</w:t>
            </w:r>
          </w:p>
        </w:tc>
        <w:tc>
          <w:tcPr>
            <w:tcW w:w="2592" w:type="dxa"/>
            <w:tcBorders>
              <w:right w:val="nil"/>
            </w:tcBorders>
          </w:tcPr>
          <w:p w14:paraId="2303550C" w14:textId="40C07D2A" w:rsidR="002E0445" w:rsidRPr="002E0445" w:rsidRDefault="002E0445" w:rsidP="002E0445">
            <w:pPr>
              <w:pStyle w:val="FormFieldCaption"/>
              <w:spacing w:before="20" w:after="20"/>
              <w:rPr>
                <w:sz w:val="22"/>
                <w:szCs w:val="22"/>
              </w:rPr>
            </w:pPr>
            <w:r w:rsidRPr="002E0445">
              <w:rPr>
                <w:sz w:val="22"/>
                <w:szCs w:val="22"/>
              </w:rPr>
              <w:t>Exercise Science</w:t>
            </w:r>
          </w:p>
        </w:tc>
      </w:tr>
      <w:tr w:rsidR="002E0445" w:rsidRPr="00D3779E" w14:paraId="09D52645" w14:textId="77777777" w:rsidTr="008A3C0A">
        <w:trPr>
          <w:cantSplit/>
          <w:trHeight w:val="395"/>
        </w:trPr>
        <w:tc>
          <w:tcPr>
            <w:tcW w:w="5220" w:type="dxa"/>
            <w:tcBorders>
              <w:left w:val="nil"/>
            </w:tcBorders>
            <w:vAlign w:val="center"/>
          </w:tcPr>
          <w:p w14:paraId="76A4F390" w14:textId="338E9644" w:rsidR="002E0445" w:rsidRPr="002E0445" w:rsidRDefault="002E0445" w:rsidP="002E0445">
            <w:pPr>
              <w:pStyle w:val="FormFieldCaption"/>
              <w:spacing w:before="20" w:after="20"/>
              <w:rPr>
                <w:sz w:val="22"/>
                <w:szCs w:val="22"/>
              </w:rPr>
            </w:pPr>
            <w:r w:rsidRPr="002E0445">
              <w:rPr>
                <w:sz w:val="22"/>
                <w:szCs w:val="22"/>
              </w:rPr>
              <w:t>Florida State University, Tallahassee, FL</w:t>
            </w:r>
          </w:p>
        </w:tc>
        <w:tc>
          <w:tcPr>
            <w:tcW w:w="1440" w:type="dxa"/>
            <w:vAlign w:val="center"/>
          </w:tcPr>
          <w:p w14:paraId="3120D72C" w14:textId="002778A9" w:rsidR="002E0445" w:rsidRPr="002E0445" w:rsidRDefault="002E0445" w:rsidP="002E0445">
            <w:pPr>
              <w:pStyle w:val="FormFieldCaption"/>
              <w:spacing w:before="20" w:after="20"/>
              <w:jc w:val="center"/>
              <w:rPr>
                <w:sz w:val="22"/>
                <w:szCs w:val="22"/>
              </w:rPr>
            </w:pPr>
            <w:r w:rsidRPr="002E0445">
              <w:rPr>
                <w:sz w:val="22"/>
                <w:szCs w:val="22"/>
              </w:rPr>
              <w:t>Postdoc</w:t>
            </w:r>
          </w:p>
        </w:tc>
        <w:tc>
          <w:tcPr>
            <w:tcW w:w="1584" w:type="dxa"/>
            <w:vAlign w:val="center"/>
          </w:tcPr>
          <w:p w14:paraId="53EB7033" w14:textId="3B8300FA" w:rsidR="002E0445" w:rsidRPr="002E0445" w:rsidRDefault="00033625" w:rsidP="002E0445">
            <w:pPr>
              <w:pStyle w:val="FormFieldCaption"/>
              <w:spacing w:before="20" w:after="20"/>
              <w:jc w:val="center"/>
              <w:rPr>
                <w:sz w:val="22"/>
                <w:szCs w:val="22"/>
              </w:rPr>
            </w:pPr>
            <w:r>
              <w:rPr>
                <w:sz w:val="22"/>
                <w:szCs w:val="22"/>
              </w:rPr>
              <w:t>6/</w:t>
            </w:r>
            <w:r w:rsidR="002E0445" w:rsidRPr="002E0445">
              <w:rPr>
                <w:sz w:val="22"/>
                <w:szCs w:val="22"/>
              </w:rPr>
              <w:t>2010</w:t>
            </w:r>
          </w:p>
        </w:tc>
        <w:tc>
          <w:tcPr>
            <w:tcW w:w="2592" w:type="dxa"/>
            <w:tcBorders>
              <w:right w:val="nil"/>
            </w:tcBorders>
            <w:vAlign w:val="center"/>
          </w:tcPr>
          <w:p w14:paraId="4418E34F" w14:textId="6912B030" w:rsidR="002E0445" w:rsidRPr="002E0445" w:rsidRDefault="002E0445" w:rsidP="002E0445">
            <w:pPr>
              <w:pStyle w:val="FormFieldCaption"/>
              <w:spacing w:before="20" w:after="20"/>
              <w:rPr>
                <w:sz w:val="22"/>
                <w:szCs w:val="22"/>
              </w:rPr>
            </w:pPr>
            <w:r w:rsidRPr="002E0445">
              <w:rPr>
                <w:sz w:val="22"/>
                <w:szCs w:val="22"/>
              </w:rPr>
              <w:t>Nutrition/Physiology</w:t>
            </w:r>
          </w:p>
        </w:tc>
      </w:tr>
      <w:tr w:rsidR="002E0445" w:rsidRPr="00D3779E" w14:paraId="767906B9" w14:textId="77777777" w:rsidTr="005F0B12">
        <w:trPr>
          <w:cantSplit/>
          <w:trHeight w:val="395"/>
        </w:trPr>
        <w:tc>
          <w:tcPr>
            <w:tcW w:w="5220" w:type="dxa"/>
          </w:tcPr>
          <w:p w14:paraId="4D43CFA6" w14:textId="2FFF44CD" w:rsidR="002E0445" w:rsidRPr="002E0445" w:rsidRDefault="002E0445" w:rsidP="002E0445">
            <w:pPr>
              <w:pStyle w:val="FormFieldCaption"/>
              <w:spacing w:before="20" w:after="20"/>
              <w:rPr>
                <w:sz w:val="22"/>
                <w:szCs w:val="22"/>
              </w:rPr>
            </w:pPr>
          </w:p>
        </w:tc>
        <w:tc>
          <w:tcPr>
            <w:tcW w:w="1440" w:type="dxa"/>
          </w:tcPr>
          <w:p w14:paraId="3D81FEFA" w14:textId="77777777" w:rsidR="002E0445" w:rsidRPr="002E0445" w:rsidRDefault="002E0445" w:rsidP="002E0445">
            <w:pPr>
              <w:pStyle w:val="FormFieldCaption"/>
              <w:spacing w:before="20" w:after="20"/>
              <w:jc w:val="center"/>
              <w:rPr>
                <w:sz w:val="22"/>
                <w:szCs w:val="22"/>
              </w:rPr>
            </w:pPr>
          </w:p>
        </w:tc>
        <w:tc>
          <w:tcPr>
            <w:tcW w:w="1584" w:type="dxa"/>
          </w:tcPr>
          <w:p w14:paraId="3F1F9756" w14:textId="77777777" w:rsidR="002E0445" w:rsidRPr="002E0445" w:rsidRDefault="002E0445" w:rsidP="002E0445">
            <w:pPr>
              <w:pStyle w:val="FormFieldCaption"/>
              <w:spacing w:before="20" w:after="20"/>
              <w:jc w:val="center"/>
              <w:rPr>
                <w:sz w:val="22"/>
                <w:szCs w:val="22"/>
              </w:rPr>
            </w:pPr>
          </w:p>
        </w:tc>
        <w:tc>
          <w:tcPr>
            <w:tcW w:w="2592" w:type="dxa"/>
          </w:tcPr>
          <w:p w14:paraId="4D6D5595" w14:textId="685C1785" w:rsidR="002E0445" w:rsidRPr="002E0445" w:rsidRDefault="002E0445" w:rsidP="002E0445">
            <w:pPr>
              <w:pStyle w:val="FormFieldCaption"/>
              <w:spacing w:before="20" w:after="20"/>
              <w:rPr>
                <w:sz w:val="22"/>
                <w:szCs w:val="22"/>
              </w:rPr>
            </w:pPr>
          </w:p>
        </w:tc>
      </w:tr>
    </w:tbl>
    <w:p w14:paraId="6FC868BE" w14:textId="735E875D" w:rsidR="009E52CA" w:rsidRDefault="009E52CA">
      <w:pPr>
        <w:pStyle w:val="DataField11pt-Single"/>
      </w:pPr>
    </w:p>
    <w:p w14:paraId="15F7FBD7" w14:textId="794968C4" w:rsidR="002E0445" w:rsidRDefault="002C51BC" w:rsidP="008853FF">
      <w:pPr>
        <w:rPr>
          <w:rFonts w:cs="Arial"/>
        </w:rPr>
      </w:pPr>
      <w:r w:rsidRPr="00A128A0">
        <w:rPr>
          <w:rStyle w:val="Strong"/>
        </w:rPr>
        <w:t>A.</w:t>
      </w:r>
      <w:r w:rsidRPr="00A128A0">
        <w:rPr>
          <w:rStyle w:val="Strong"/>
        </w:rPr>
        <w:tab/>
        <w:t>Personal</w:t>
      </w:r>
      <w:r w:rsidR="002E0445">
        <w:rPr>
          <w:rStyle w:val="Strong"/>
        </w:rPr>
        <w:t xml:space="preserve"> </w:t>
      </w:r>
      <w:r w:rsidRPr="00A128A0">
        <w:rPr>
          <w:rStyle w:val="Strong"/>
        </w:rPr>
        <w:t>Statement</w:t>
      </w:r>
      <w:r w:rsidR="00FE10AD">
        <w:rPr>
          <w:rStyle w:val="Strong"/>
        </w:rPr>
        <w:br/>
      </w:r>
      <w:r w:rsidR="002E0445" w:rsidRPr="003876FB">
        <w:rPr>
          <w:rFonts w:cs="Arial"/>
        </w:rPr>
        <w:t xml:space="preserve">I am an exercise physiologist who specializes in the gut microbiota. Humans live in symbiosis with clusters of microbes in various parts of the body ranging from the skin, gut, oral cavity, </w:t>
      </w:r>
      <w:r w:rsidR="008853FF" w:rsidRPr="003876FB">
        <w:rPr>
          <w:rFonts w:cs="Arial"/>
        </w:rPr>
        <w:t>vagina,</w:t>
      </w:r>
      <w:r w:rsidR="002E0445" w:rsidRPr="003876FB">
        <w:rPr>
          <w:rFonts w:cs="Arial"/>
        </w:rPr>
        <w:t xml:space="preserve"> and other areas exposed to the environment. These bacterial communities are primary constituents of the microbiome which encompasses the complete genetic potential of a bacterial population as well the products of the microbiota (microbial taxa) and host environment. Balance in the gut regulates dietary energy harvest as well as the metabolism of microbial and host derived chemicals. Thus, any perturbations in the microbiota may interrupt intestinal homeostasis. The most common contributor to microbial changes is human behavior, through diet and exercise</w:t>
      </w:r>
      <w:r w:rsidR="00627172">
        <w:rPr>
          <w:rFonts w:cs="Arial"/>
        </w:rPr>
        <w:t>, which are also important factors for healthful aging</w:t>
      </w:r>
      <w:r w:rsidR="002E0445" w:rsidRPr="003876FB">
        <w:rPr>
          <w:rFonts w:cs="Arial"/>
        </w:rPr>
        <w:t>.</w:t>
      </w:r>
      <w:r w:rsidR="009322CF">
        <w:rPr>
          <w:rFonts w:cs="Arial"/>
        </w:rPr>
        <w:t xml:space="preserve"> Exercise is effective at reducing the risk of many chronic conditions like obesity, diabetes, and heart disease. Exercise training enhances antioxidant capacity and reduced inflammation. </w:t>
      </w:r>
      <w:r w:rsidR="002E0445" w:rsidRPr="003876FB">
        <w:rPr>
          <w:rFonts w:cs="Arial"/>
        </w:rPr>
        <w:t xml:space="preserve">Exercise is </w:t>
      </w:r>
      <w:r w:rsidR="009322CF">
        <w:rPr>
          <w:rFonts w:cs="Arial"/>
        </w:rPr>
        <w:t xml:space="preserve">also </w:t>
      </w:r>
      <w:r w:rsidR="002E0445" w:rsidRPr="003876FB">
        <w:rPr>
          <w:rFonts w:cs="Arial"/>
        </w:rPr>
        <w:t xml:space="preserve">known to exert a role in energy homeostasis and regulation and has been shown to manipulate gut bacterial populations. However, little is known about the forces/factors that drive microbial diversity resulting from exercise training. </w:t>
      </w:r>
      <w:r w:rsidR="002E0445" w:rsidRPr="003876FB">
        <w:rPr>
          <w:rFonts w:cs="Arial"/>
          <w:u w:val="single"/>
        </w:rPr>
        <w:t>There are several significant scientific questions that remain to be elucidated that our lab investigates including</w:t>
      </w:r>
      <w:r w:rsidR="002E0445" w:rsidRPr="003876FB">
        <w:rPr>
          <w:rFonts w:cs="Arial"/>
        </w:rPr>
        <w:t xml:space="preserve">: 1- What </w:t>
      </w:r>
      <w:r w:rsidR="008853FF">
        <w:rPr>
          <w:rFonts w:cs="Arial"/>
        </w:rPr>
        <w:t>is the bidirectional link between the host exercise response and the gut microbial communities</w:t>
      </w:r>
      <w:r w:rsidR="002E0445" w:rsidRPr="003876FB">
        <w:rPr>
          <w:rFonts w:cs="Arial"/>
        </w:rPr>
        <w:t xml:space="preserve">?; 2- What metabolites do the gut microbes produce in response to exercise training?; 3- How do these metabolites influence </w:t>
      </w:r>
      <w:r w:rsidR="008853FF">
        <w:rPr>
          <w:rFonts w:cs="Arial"/>
        </w:rPr>
        <w:t>exercise capacity and tolerance</w:t>
      </w:r>
      <w:r w:rsidR="002E0445" w:rsidRPr="003876FB">
        <w:rPr>
          <w:rFonts w:cs="Arial"/>
        </w:rPr>
        <w:t xml:space="preserve">?; 4- </w:t>
      </w:r>
      <w:r w:rsidR="008853FF">
        <w:rPr>
          <w:rFonts w:cs="Arial"/>
        </w:rPr>
        <w:t>Can we elucidate which particular microbial guilds</w:t>
      </w:r>
      <w:r w:rsidR="00E667D5">
        <w:rPr>
          <w:rFonts w:cs="Arial"/>
        </w:rPr>
        <w:t xml:space="preserve"> facilitate exercise capacity</w:t>
      </w:r>
      <w:r w:rsidR="002E0445" w:rsidRPr="003876FB">
        <w:rPr>
          <w:rFonts w:cs="Arial"/>
        </w:rPr>
        <w:t>?; and 5- Does the activity of particular microbes</w:t>
      </w:r>
      <w:r w:rsidR="008853FF">
        <w:rPr>
          <w:rFonts w:cs="Arial"/>
        </w:rPr>
        <w:t xml:space="preserve"> change in response to exercise and does this improve </w:t>
      </w:r>
      <w:r w:rsidR="002E0445" w:rsidRPr="003876FB">
        <w:rPr>
          <w:rFonts w:cs="Arial"/>
        </w:rPr>
        <w:t xml:space="preserve">intestinal health? </w:t>
      </w:r>
    </w:p>
    <w:p w14:paraId="1045199F" w14:textId="45F4AA53" w:rsidR="00721457" w:rsidRDefault="00721457" w:rsidP="008853FF">
      <w:pPr>
        <w:rPr>
          <w:rFonts w:cs="Arial"/>
        </w:rPr>
      </w:pPr>
    </w:p>
    <w:p w14:paraId="56370985" w14:textId="6732A402" w:rsidR="00721457" w:rsidRDefault="00721457" w:rsidP="008853FF">
      <w:pPr>
        <w:rPr>
          <w:rFonts w:cs="Arial"/>
        </w:rPr>
      </w:pPr>
      <w:r w:rsidRPr="00C83803">
        <w:rPr>
          <w:rFonts w:cs="Arial"/>
        </w:rPr>
        <w:t>Ongoing and recently completed projects that I would like to highlight include</w:t>
      </w:r>
      <w:r w:rsidRPr="00721457">
        <w:rPr>
          <w:rFonts w:cs="Arial"/>
        </w:rPr>
        <w:t>:</w:t>
      </w:r>
    </w:p>
    <w:p w14:paraId="40909125" w14:textId="507D6A3B" w:rsidR="00C83803" w:rsidRPr="001F3D4C" w:rsidRDefault="00C83803" w:rsidP="00C83803">
      <w:pPr>
        <w:pStyle w:val="DataField11pt"/>
        <w:widowControl w:val="0"/>
        <w:snapToGrid w:val="0"/>
        <w:spacing w:line="240" w:lineRule="auto"/>
        <w:jc w:val="both"/>
        <w:rPr>
          <w:b/>
          <w:szCs w:val="22"/>
        </w:rPr>
      </w:pPr>
      <w:r w:rsidRPr="00C83803">
        <w:rPr>
          <w:b/>
          <w:bCs/>
          <w:szCs w:val="22"/>
        </w:rPr>
        <w:t>DoD-ONR</w:t>
      </w:r>
      <w:r w:rsidRPr="001F3D4C">
        <w:rPr>
          <w:b/>
          <w:bCs/>
          <w:szCs w:val="22"/>
        </w:rPr>
        <w:t xml:space="preserve">    </w:t>
      </w:r>
      <w:r w:rsidRPr="00C83803">
        <w:rPr>
          <w:rFonts w:eastAsia="MS Mincho"/>
          <w:b/>
          <w:bCs/>
          <w:color w:val="000000" w:themeColor="text1"/>
          <w:szCs w:val="22"/>
          <w:lang w:eastAsia="ja-JP"/>
        </w:rPr>
        <w:t>N00014-19-1-2443</w:t>
      </w:r>
      <w:r w:rsidRPr="001F3D4C">
        <w:rPr>
          <w:rFonts w:eastAsia="MS Mincho"/>
          <w:b/>
          <w:bCs/>
          <w:color w:val="000000" w:themeColor="text1"/>
          <w:szCs w:val="22"/>
          <w:lang w:eastAsia="ja-JP"/>
        </w:rPr>
        <w:t xml:space="preserve">                          </w:t>
      </w:r>
      <w:r>
        <w:rPr>
          <w:rFonts w:eastAsia="MS Mincho"/>
          <w:b/>
          <w:bCs/>
          <w:color w:val="000000" w:themeColor="text1"/>
          <w:szCs w:val="22"/>
          <w:lang w:eastAsia="ja-JP"/>
        </w:rPr>
        <w:t xml:space="preserve">                    </w:t>
      </w:r>
      <w:r w:rsidRPr="001F3D4C">
        <w:rPr>
          <w:rFonts w:eastAsia="MS Mincho"/>
          <w:b/>
          <w:bCs/>
          <w:color w:val="000000" w:themeColor="text1"/>
          <w:szCs w:val="22"/>
          <w:lang w:eastAsia="ja-JP"/>
        </w:rPr>
        <w:t xml:space="preserve">            </w:t>
      </w:r>
    </w:p>
    <w:p w14:paraId="051D13DC" w14:textId="0B4A2DDF" w:rsidR="00C83803" w:rsidRPr="001F3D4C" w:rsidRDefault="00C83803" w:rsidP="00C83803">
      <w:pPr>
        <w:tabs>
          <w:tab w:val="left" w:pos="5760"/>
          <w:tab w:val="left" w:pos="8640"/>
        </w:tabs>
        <w:rPr>
          <w:rFonts w:cs="Arial"/>
          <w:bCs/>
          <w:szCs w:val="22"/>
          <w:lang w:eastAsia="ja-JP"/>
        </w:rPr>
      </w:pPr>
      <w:r w:rsidRPr="00C83803">
        <w:rPr>
          <w:rFonts w:cs="Arial"/>
          <w:bCs/>
          <w:szCs w:val="22"/>
        </w:rPr>
        <w:t>Linking brown fat to the microbiome to enhance warfighter health</w:t>
      </w:r>
    </w:p>
    <w:p w14:paraId="478F831D" w14:textId="77777777" w:rsidR="00C83803" w:rsidRDefault="00C83803" w:rsidP="00C83803">
      <w:pPr>
        <w:tabs>
          <w:tab w:val="left" w:pos="5760"/>
          <w:tab w:val="left" w:pos="8640"/>
        </w:tabs>
        <w:rPr>
          <w:rFonts w:cs="Arial"/>
          <w:bCs/>
          <w:szCs w:val="22"/>
          <w:lang w:eastAsia="ja-JP"/>
        </w:rPr>
      </w:pPr>
      <w:r w:rsidRPr="001F3D4C">
        <w:rPr>
          <w:rFonts w:cs="Arial"/>
          <w:bCs/>
          <w:szCs w:val="22"/>
          <w:lang w:eastAsia="ja-JP"/>
        </w:rPr>
        <w:t>Role: Principal Investigator</w:t>
      </w:r>
    </w:p>
    <w:p w14:paraId="67A5BF1B" w14:textId="5A16F34A" w:rsidR="00C83803" w:rsidRPr="00DE5B26" w:rsidRDefault="00C83803" w:rsidP="00C83803">
      <w:pPr>
        <w:tabs>
          <w:tab w:val="left" w:pos="5760"/>
          <w:tab w:val="left" w:pos="8640"/>
        </w:tabs>
        <w:rPr>
          <w:rFonts w:cs="Arial"/>
          <w:bCs/>
          <w:szCs w:val="22"/>
          <w:lang w:eastAsia="ja-JP"/>
        </w:rPr>
      </w:pPr>
      <w:r w:rsidRPr="00C83803">
        <w:rPr>
          <w:szCs w:val="22"/>
        </w:rPr>
        <w:t>03/2019 – 02/2023</w:t>
      </w:r>
    </w:p>
    <w:p w14:paraId="08B2EDA3" w14:textId="77777777" w:rsidR="00753059" w:rsidRDefault="00753059" w:rsidP="00753059">
      <w:pPr>
        <w:rPr>
          <w:rFonts w:cs="Arial"/>
        </w:rPr>
      </w:pPr>
      <w:r w:rsidRPr="00BF6BCB">
        <w:rPr>
          <w:rFonts w:cs="Arial"/>
        </w:rPr>
        <w:t>Our proposed studies seek to identify the key active gut microbial species involved in the gut of RGS-14-KO mice and link these measures to BAT. In addition, our research is focused on assessing active bacteria in the gut and get at the underlying mechanisms impacting the development of BAT for the purpose of enhancing warfighter health.</w:t>
      </w:r>
    </w:p>
    <w:p w14:paraId="2814FDFD" w14:textId="617EE59F" w:rsidR="00C83803" w:rsidRDefault="00C83803" w:rsidP="00C83803">
      <w:pPr>
        <w:pStyle w:val="DataField11pt"/>
        <w:widowControl w:val="0"/>
        <w:snapToGrid w:val="0"/>
        <w:spacing w:line="240" w:lineRule="auto"/>
        <w:jc w:val="both"/>
        <w:rPr>
          <w:b/>
          <w:bCs/>
          <w:szCs w:val="22"/>
        </w:rPr>
      </w:pPr>
    </w:p>
    <w:p w14:paraId="5C3BF7B3" w14:textId="77777777" w:rsidR="00753059" w:rsidRDefault="00753059" w:rsidP="00C83803">
      <w:pPr>
        <w:pStyle w:val="DataField11pt"/>
        <w:widowControl w:val="0"/>
        <w:snapToGrid w:val="0"/>
        <w:spacing w:line="240" w:lineRule="auto"/>
        <w:jc w:val="both"/>
        <w:rPr>
          <w:b/>
          <w:bCs/>
          <w:szCs w:val="22"/>
        </w:rPr>
      </w:pPr>
    </w:p>
    <w:p w14:paraId="09353DAF" w14:textId="7D6B95AC" w:rsidR="00C83803" w:rsidRPr="001F3D4C" w:rsidRDefault="00C83803" w:rsidP="00C83803">
      <w:pPr>
        <w:pStyle w:val="DataField11pt"/>
        <w:widowControl w:val="0"/>
        <w:snapToGrid w:val="0"/>
        <w:spacing w:line="240" w:lineRule="auto"/>
        <w:jc w:val="both"/>
        <w:rPr>
          <w:b/>
          <w:szCs w:val="22"/>
        </w:rPr>
      </w:pPr>
      <w:r w:rsidRPr="00C83803">
        <w:rPr>
          <w:b/>
          <w:bCs/>
          <w:szCs w:val="22"/>
        </w:rPr>
        <w:lastRenderedPageBreak/>
        <w:t>Busch Biomedical Grant Program</w:t>
      </w:r>
    </w:p>
    <w:p w14:paraId="54F3123E" w14:textId="77777777" w:rsidR="00C83803" w:rsidRDefault="00C83803" w:rsidP="00C83803">
      <w:pPr>
        <w:tabs>
          <w:tab w:val="left" w:pos="5760"/>
          <w:tab w:val="left" w:pos="8640"/>
        </w:tabs>
        <w:rPr>
          <w:rFonts w:cs="Arial"/>
          <w:bCs/>
          <w:szCs w:val="22"/>
        </w:rPr>
      </w:pPr>
      <w:r w:rsidRPr="00C83803">
        <w:rPr>
          <w:rFonts w:cs="Arial"/>
          <w:bCs/>
          <w:szCs w:val="22"/>
        </w:rPr>
        <w:t>The role of brown adipose tissue and microbiota in mediating healthful aging and improved exercise performance</w:t>
      </w:r>
    </w:p>
    <w:p w14:paraId="496DB6F5" w14:textId="021DA665" w:rsidR="00C83803" w:rsidRDefault="00C83803" w:rsidP="00C83803">
      <w:pPr>
        <w:tabs>
          <w:tab w:val="left" w:pos="5760"/>
          <w:tab w:val="left" w:pos="8640"/>
        </w:tabs>
        <w:rPr>
          <w:rFonts w:cs="Arial"/>
          <w:bCs/>
          <w:szCs w:val="22"/>
          <w:lang w:eastAsia="ja-JP"/>
        </w:rPr>
      </w:pPr>
      <w:r w:rsidRPr="001F3D4C">
        <w:rPr>
          <w:rFonts w:cs="Arial"/>
          <w:bCs/>
          <w:szCs w:val="22"/>
          <w:lang w:eastAsia="ja-JP"/>
        </w:rPr>
        <w:t xml:space="preserve">Role: </w:t>
      </w:r>
      <w:r>
        <w:rPr>
          <w:rFonts w:cs="Arial"/>
          <w:bCs/>
          <w:szCs w:val="22"/>
          <w:lang w:eastAsia="ja-JP"/>
        </w:rPr>
        <w:t xml:space="preserve">MPI (PI: </w:t>
      </w:r>
      <w:proofErr w:type="spellStart"/>
      <w:r>
        <w:rPr>
          <w:rFonts w:cs="Arial"/>
          <w:bCs/>
          <w:szCs w:val="22"/>
          <w:lang w:eastAsia="ja-JP"/>
        </w:rPr>
        <w:t>Vatner</w:t>
      </w:r>
      <w:proofErr w:type="spellEnd"/>
      <w:r>
        <w:rPr>
          <w:rFonts w:cs="Arial"/>
          <w:bCs/>
          <w:szCs w:val="22"/>
          <w:lang w:eastAsia="ja-JP"/>
        </w:rPr>
        <w:t xml:space="preserve"> DE)</w:t>
      </w:r>
    </w:p>
    <w:p w14:paraId="1110B178" w14:textId="5E12266E" w:rsidR="00C83803" w:rsidRDefault="00C83803" w:rsidP="00C83803">
      <w:pPr>
        <w:pStyle w:val="DataField11pt"/>
        <w:widowControl w:val="0"/>
        <w:snapToGrid w:val="0"/>
        <w:spacing w:line="240" w:lineRule="auto"/>
        <w:contextualSpacing/>
        <w:jc w:val="both"/>
        <w:rPr>
          <w:rFonts w:eastAsia="Times New Roman" w:cs="Times New Roman"/>
          <w:szCs w:val="22"/>
        </w:rPr>
      </w:pPr>
      <w:r w:rsidRPr="00C83803">
        <w:rPr>
          <w:rFonts w:eastAsia="Times New Roman" w:cs="Times New Roman"/>
          <w:szCs w:val="22"/>
        </w:rPr>
        <w:t>11/2021 – 10/2023</w:t>
      </w:r>
    </w:p>
    <w:p w14:paraId="4875019D" w14:textId="76BBFE45" w:rsidR="00C83803" w:rsidRPr="003E5330" w:rsidRDefault="00C83803" w:rsidP="00C83803">
      <w:pPr>
        <w:pStyle w:val="DataField11pt"/>
        <w:widowControl w:val="0"/>
        <w:snapToGrid w:val="0"/>
        <w:spacing w:line="240" w:lineRule="auto"/>
        <w:contextualSpacing/>
        <w:jc w:val="both"/>
        <w:rPr>
          <w:szCs w:val="22"/>
          <w:lang w:eastAsia="zh-CN"/>
        </w:rPr>
      </w:pPr>
      <w:r w:rsidRPr="000D6775">
        <w:rPr>
          <w:color w:val="000000" w:themeColor="text1"/>
          <w:szCs w:val="22"/>
        </w:rPr>
        <w:t xml:space="preserve">The goal of this project is to </w:t>
      </w:r>
      <w:r w:rsidR="000D6775" w:rsidRPr="000D6775">
        <w:t>obtain</w:t>
      </w:r>
      <w:r w:rsidR="000D6775">
        <w:t xml:space="preserve"> enough data for an NIH R01 application on t</w:t>
      </w:r>
      <w:r w:rsidR="000D6775" w:rsidRPr="000D6775">
        <w:t>he unique microbiota of the RGS14 KO brown adipose tissue mediat</w:t>
      </w:r>
      <w:r w:rsidR="000D6775">
        <w:t>ing</w:t>
      </w:r>
      <w:r w:rsidR="000D6775" w:rsidRPr="000D6775">
        <w:t xml:space="preserve"> improved exercise performance and healthful longevity</w:t>
      </w:r>
      <w:r w:rsidR="000D6775">
        <w:t>.</w:t>
      </w:r>
    </w:p>
    <w:p w14:paraId="619E1916" w14:textId="77777777" w:rsidR="00C83803" w:rsidRDefault="00C83803" w:rsidP="00C83803">
      <w:pPr>
        <w:pStyle w:val="DataField11pt"/>
        <w:widowControl w:val="0"/>
        <w:snapToGrid w:val="0"/>
        <w:spacing w:line="240" w:lineRule="auto"/>
        <w:jc w:val="both"/>
        <w:rPr>
          <w:b/>
          <w:bCs/>
          <w:szCs w:val="22"/>
        </w:rPr>
      </w:pPr>
    </w:p>
    <w:p w14:paraId="5F0010DF" w14:textId="7DE55295" w:rsidR="00C83803" w:rsidRPr="001F3D4C" w:rsidRDefault="00C83803" w:rsidP="00C83803">
      <w:pPr>
        <w:pStyle w:val="DataField11pt"/>
        <w:widowControl w:val="0"/>
        <w:snapToGrid w:val="0"/>
        <w:spacing w:line="240" w:lineRule="auto"/>
        <w:jc w:val="both"/>
        <w:rPr>
          <w:b/>
          <w:szCs w:val="22"/>
        </w:rPr>
      </w:pPr>
      <w:r w:rsidRPr="00C83803">
        <w:rPr>
          <w:b/>
          <w:bCs/>
          <w:szCs w:val="22"/>
        </w:rPr>
        <w:t>Core Grant Program</w:t>
      </w:r>
    </w:p>
    <w:p w14:paraId="2094324D" w14:textId="6C20E1C7" w:rsidR="00C83803" w:rsidRPr="001F3D4C" w:rsidRDefault="00C83803" w:rsidP="00C83803">
      <w:pPr>
        <w:tabs>
          <w:tab w:val="left" w:pos="5760"/>
          <w:tab w:val="left" w:pos="8640"/>
        </w:tabs>
        <w:rPr>
          <w:rFonts w:cs="Arial"/>
          <w:bCs/>
          <w:szCs w:val="22"/>
          <w:lang w:eastAsia="ja-JP"/>
        </w:rPr>
      </w:pPr>
      <w:r w:rsidRPr="00C83803">
        <w:rPr>
          <w:rFonts w:cs="Arial"/>
          <w:bCs/>
          <w:szCs w:val="22"/>
        </w:rPr>
        <w:t>Metabolomic analysis</w:t>
      </w:r>
    </w:p>
    <w:p w14:paraId="705A6E0A" w14:textId="77777777" w:rsidR="00C83803" w:rsidRDefault="00C83803" w:rsidP="00C83803">
      <w:pPr>
        <w:tabs>
          <w:tab w:val="left" w:pos="5760"/>
          <w:tab w:val="left" w:pos="8640"/>
        </w:tabs>
        <w:rPr>
          <w:rFonts w:cs="Arial"/>
          <w:bCs/>
          <w:szCs w:val="22"/>
          <w:lang w:eastAsia="ja-JP"/>
        </w:rPr>
      </w:pPr>
      <w:r w:rsidRPr="001F3D4C">
        <w:rPr>
          <w:rFonts w:cs="Arial"/>
          <w:bCs/>
          <w:szCs w:val="22"/>
          <w:lang w:eastAsia="ja-JP"/>
        </w:rPr>
        <w:t>Role: Principal Investigator</w:t>
      </w:r>
    </w:p>
    <w:p w14:paraId="47D46D8E" w14:textId="77777777" w:rsidR="00C83803" w:rsidRDefault="00C83803" w:rsidP="00C83803">
      <w:pPr>
        <w:pStyle w:val="DataField11pt"/>
        <w:widowControl w:val="0"/>
        <w:snapToGrid w:val="0"/>
        <w:spacing w:line="240" w:lineRule="auto"/>
        <w:contextualSpacing/>
        <w:jc w:val="both"/>
        <w:rPr>
          <w:rFonts w:eastAsia="Times New Roman" w:cs="Times New Roman"/>
          <w:szCs w:val="22"/>
        </w:rPr>
      </w:pPr>
      <w:r w:rsidRPr="00C83803">
        <w:rPr>
          <w:rFonts w:eastAsia="Times New Roman" w:cs="Times New Roman"/>
          <w:szCs w:val="22"/>
        </w:rPr>
        <w:t>12/2020 – 12/2021</w:t>
      </w:r>
    </w:p>
    <w:p w14:paraId="213113B2" w14:textId="56D36121" w:rsidR="00C83803" w:rsidRPr="003E5330" w:rsidRDefault="00C83803" w:rsidP="00C83803">
      <w:pPr>
        <w:pStyle w:val="DataField11pt"/>
        <w:widowControl w:val="0"/>
        <w:snapToGrid w:val="0"/>
        <w:spacing w:line="240" w:lineRule="auto"/>
        <w:contextualSpacing/>
        <w:jc w:val="both"/>
        <w:rPr>
          <w:szCs w:val="22"/>
          <w:lang w:eastAsia="zh-CN"/>
        </w:rPr>
      </w:pPr>
      <w:r w:rsidRPr="00753059">
        <w:rPr>
          <w:color w:val="000000" w:themeColor="text1"/>
          <w:szCs w:val="22"/>
        </w:rPr>
        <w:t xml:space="preserve">The goal of this project is to </w:t>
      </w:r>
      <w:r w:rsidR="00753059">
        <w:rPr>
          <w:color w:val="000000" w:themeColor="text1"/>
          <w:szCs w:val="22"/>
        </w:rPr>
        <w:t>supplement existing funds to analyze skeletal muscle tissue samples from RGS 14KO and WT mice for polar/non-polar positive and negative metabolites.</w:t>
      </w:r>
    </w:p>
    <w:p w14:paraId="2AB243D5" w14:textId="77777777" w:rsidR="00C83803" w:rsidRDefault="00C83803" w:rsidP="00C83803">
      <w:pPr>
        <w:pStyle w:val="DataField11pt"/>
        <w:widowControl w:val="0"/>
        <w:snapToGrid w:val="0"/>
        <w:spacing w:line="240" w:lineRule="auto"/>
        <w:jc w:val="both"/>
        <w:rPr>
          <w:b/>
          <w:bCs/>
          <w:szCs w:val="22"/>
        </w:rPr>
      </w:pPr>
    </w:p>
    <w:p w14:paraId="36A05CEA" w14:textId="349DF44F" w:rsidR="00C83803" w:rsidRPr="001F3D4C" w:rsidRDefault="00C83803" w:rsidP="00C83803">
      <w:pPr>
        <w:pStyle w:val="DataField11pt"/>
        <w:widowControl w:val="0"/>
        <w:snapToGrid w:val="0"/>
        <w:spacing w:line="240" w:lineRule="auto"/>
        <w:jc w:val="both"/>
        <w:rPr>
          <w:b/>
          <w:szCs w:val="22"/>
        </w:rPr>
      </w:pPr>
      <w:r w:rsidRPr="00C83803">
        <w:rPr>
          <w:b/>
          <w:bCs/>
          <w:szCs w:val="22"/>
        </w:rPr>
        <w:t>DoD-ONR</w:t>
      </w:r>
      <w:r w:rsidRPr="001F3D4C">
        <w:rPr>
          <w:b/>
          <w:bCs/>
          <w:szCs w:val="22"/>
        </w:rPr>
        <w:t xml:space="preserve">    </w:t>
      </w:r>
      <w:r w:rsidRPr="00E16D2D">
        <w:rPr>
          <w:b/>
          <w:bCs/>
        </w:rPr>
        <w:t>N00014-21-1-2276</w:t>
      </w:r>
      <w:r w:rsidRPr="001F3D4C">
        <w:rPr>
          <w:rFonts w:eastAsia="MS Mincho"/>
          <w:b/>
          <w:bCs/>
          <w:color w:val="000000" w:themeColor="text1"/>
          <w:szCs w:val="22"/>
          <w:lang w:eastAsia="ja-JP"/>
        </w:rPr>
        <w:t xml:space="preserve">                          </w:t>
      </w:r>
      <w:r>
        <w:rPr>
          <w:rFonts w:eastAsia="MS Mincho"/>
          <w:b/>
          <w:bCs/>
          <w:color w:val="000000" w:themeColor="text1"/>
          <w:szCs w:val="22"/>
          <w:lang w:eastAsia="ja-JP"/>
        </w:rPr>
        <w:t xml:space="preserve">                    </w:t>
      </w:r>
      <w:r w:rsidRPr="001F3D4C">
        <w:rPr>
          <w:rFonts w:eastAsia="MS Mincho"/>
          <w:b/>
          <w:bCs/>
          <w:color w:val="000000" w:themeColor="text1"/>
          <w:szCs w:val="22"/>
          <w:lang w:eastAsia="ja-JP"/>
        </w:rPr>
        <w:t xml:space="preserve">            </w:t>
      </w:r>
    </w:p>
    <w:p w14:paraId="41194204" w14:textId="7BBF6E1C" w:rsidR="00C83803" w:rsidRPr="001F3D4C" w:rsidRDefault="00C83803" w:rsidP="00C83803">
      <w:pPr>
        <w:tabs>
          <w:tab w:val="left" w:pos="5760"/>
          <w:tab w:val="left" w:pos="8640"/>
        </w:tabs>
        <w:rPr>
          <w:rFonts w:cs="Arial"/>
          <w:bCs/>
          <w:szCs w:val="22"/>
          <w:lang w:eastAsia="ja-JP"/>
        </w:rPr>
      </w:pPr>
      <w:r w:rsidRPr="003354EA">
        <w:rPr>
          <w:rFonts w:cs="Arial"/>
          <w:b/>
          <w:bCs/>
        </w:rPr>
        <w:t>Mirabegron and Physiological Function in Cold Environments</w:t>
      </w:r>
    </w:p>
    <w:p w14:paraId="01067876" w14:textId="62550365" w:rsidR="00C83803" w:rsidRDefault="00C83803" w:rsidP="00C83803">
      <w:pPr>
        <w:tabs>
          <w:tab w:val="left" w:pos="5760"/>
          <w:tab w:val="left" w:pos="8640"/>
        </w:tabs>
        <w:rPr>
          <w:rFonts w:cs="Arial"/>
          <w:bCs/>
          <w:szCs w:val="22"/>
          <w:lang w:eastAsia="ja-JP"/>
        </w:rPr>
      </w:pPr>
      <w:r w:rsidRPr="001F3D4C">
        <w:rPr>
          <w:rFonts w:cs="Arial"/>
          <w:bCs/>
          <w:szCs w:val="22"/>
          <w:lang w:eastAsia="ja-JP"/>
        </w:rPr>
        <w:t xml:space="preserve">Role: </w:t>
      </w:r>
      <w:r w:rsidR="00753059">
        <w:rPr>
          <w:rFonts w:cs="Arial"/>
          <w:bCs/>
          <w:szCs w:val="22"/>
          <w:lang w:eastAsia="ja-JP"/>
        </w:rPr>
        <w:t>Co-I</w:t>
      </w:r>
      <w:r>
        <w:rPr>
          <w:rFonts w:cs="Arial"/>
          <w:bCs/>
          <w:szCs w:val="22"/>
          <w:lang w:eastAsia="ja-JP"/>
        </w:rPr>
        <w:t xml:space="preserve"> (PI: </w:t>
      </w:r>
      <w:r w:rsidRPr="00C83803">
        <w:rPr>
          <w:rFonts w:cs="Arial"/>
          <w:bCs/>
          <w:szCs w:val="22"/>
          <w:lang w:eastAsia="ja-JP"/>
        </w:rPr>
        <w:t>Johnson, BD</w:t>
      </w:r>
      <w:r>
        <w:rPr>
          <w:rFonts w:cs="Arial"/>
          <w:bCs/>
          <w:szCs w:val="22"/>
          <w:lang w:eastAsia="ja-JP"/>
        </w:rPr>
        <w:t>)</w:t>
      </w:r>
    </w:p>
    <w:p w14:paraId="7047F4A5" w14:textId="2E984F01" w:rsidR="00C83803" w:rsidRPr="00DE5B26" w:rsidRDefault="00C83803" w:rsidP="00C83803">
      <w:pPr>
        <w:tabs>
          <w:tab w:val="left" w:pos="5760"/>
          <w:tab w:val="left" w:pos="8640"/>
        </w:tabs>
        <w:rPr>
          <w:rFonts w:cs="Arial"/>
          <w:bCs/>
          <w:szCs w:val="22"/>
          <w:lang w:eastAsia="ja-JP"/>
        </w:rPr>
      </w:pPr>
      <w:r w:rsidRPr="00C83803">
        <w:rPr>
          <w:szCs w:val="22"/>
        </w:rPr>
        <w:t>05/2021 – 04/2023</w:t>
      </w:r>
    </w:p>
    <w:p w14:paraId="59389729" w14:textId="77777777" w:rsidR="00753059" w:rsidRPr="000E6101" w:rsidRDefault="00753059" w:rsidP="00753059">
      <w:pPr>
        <w:rPr>
          <w:rFonts w:cs="Arial"/>
          <w:highlight w:val="yellow"/>
        </w:rPr>
      </w:pPr>
      <w:r w:rsidRPr="00BF6BCB">
        <w:rPr>
          <w:rFonts w:cs="Arial"/>
        </w:rPr>
        <w:t>Goals:</w:t>
      </w:r>
      <w:r w:rsidRPr="00BF6BCB">
        <w:t xml:space="preserve"> </w:t>
      </w:r>
      <w:r w:rsidRPr="00BF6BCB">
        <w:rPr>
          <w:rFonts w:cs="Arial"/>
        </w:rPr>
        <w:t xml:space="preserve">The overall goals of </w:t>
      </w:r>
      <w:r>
        <w:rPr>
          <w:rFonts w:cs="Arial"/>
        </w:rPr>
        <w:t>this</w:t>
      </w:r>
      <w:r w:rsidRPr="00BF6BCB">
        <w:rPr>
          <w:rFonts w:cs="Arial"/>
        </w:rPr>
        <w:t xml:space="preserve"> project are to determine the efficacy of acute mirabegron administration to improve cold tolerance and determine if mirabegron can accentuate thermogenesis during sympathetic activation.</w:t>
      </w:r>
    </w:p>
    <w:p w14:paraId="00977992" w14:textId="43B2EC9D" w:rsidR="002C51BC" w:rsidRDefault="002C51BC" w:rsidP="002C51BC">
      <w:pPr>
        <w:pStyle w:val="DataField11pt-Single"/>
        <w:rPr>
          <w:rStyle w:val="Strong"/>
        </w:rPr>
      </w:pPr>
    </w:p>
    <w:p w14:paraId="03F0935C" w14:textId="3EFEB3E0" w:rsidR="00C83803" w:rsidRPr="001F3D4C" w:rsidRDefault="00C83803" w:rsidP="00C83803">
      <w:pPr>
        <w:pStyle w:val="DataField11pt"/>
        <w:widowControl w:val="0"/>
        <w:snapToGrid w:val="0"/>
        <w:spacing w:line="240" w:lineRule="auto"/>
        <w:jc w:val="both"/>
        <w:rPr>
          <w:b/>
          <w:szCs w:val="22"/>
        </w:rPr>
      </w:pPr>
      <w:r>
        <w:rPr>
          <w:b/>
          <w:bCs/>
        </w:rPr>
        <w:t>NIH-NIA</w:t>
      </w:r>
      <w:r w:rsidRPr="001F3D4C">
        <w:rPr>
          <w:b/>
          <w:bCs/>
          <w:szCs w:val="22"/>
        </w:rPr>
        <w:t xml:space="preserve">    </w:t>
      </w:r>
      <w:r w:rsidRPr="00C83803">
        <w:rPr>
          <w:b/>
          <w:bCs/>
        </w:rPr>
        <w:t>1R21AG071888-01</w:t>
      </w:r>
      <w:r w:rsidRPr="001F3D4C">
        <w:rPr>
          <w:rFonts w:eastAsia="MS Mincho"/>
          <w:b/>
          <w:bCs/>
          <w:color w:val="000000" w:themeColor="text1"/>
          <w:szCs w:val="22"/>
          <w:lang w:eastAsia="ja-JP"/>
        </w:rPr>
        <w:t xml:space="preserve">                          </w:t>
      </w:r>
      <w:r>
        <w:rPr>
          <w:rFonts w:eastAsia="MS Mincho"/>
          <w:b/>
          <w:bCs/>
          <w:color w:val="000000" w:themeColor="text1"/>
          <w:szCs w:val="22"/>
          <w:lang w:eastAsia="ja-JP"/>
        </w:rPr>
        <w:t xml:space="preserve">                    </w:t>
      </w:r>
      <w:r w:rsidRPr="001F3D4C">
        <w:rPr>
          <w:rFonts w:eastAsia="MS Mincho"/>
          <w:b/>
          <w:bCs/>
          <w:color w:val="000000" w:themeColor="text1"/>
          <w:szCs w:val="22"/>
          <w:lang w:eastAsia="ja-JP"/>
        </w:rPr>
        <w:t xml:space="preserve">            </w:t>
      </w:r>
    </w:p>
    <w:p w14:paraId="3F51D06B" w14:textId="68E1BAE6" w:rsidR="00C83803" w:rsidRPr="001F3D4C" w:rsidRDefault="00C83803" w:rsidP="00C83803">
      <w:pPr>
        <w:tabs>
          <w:tab w:val="left" w:pos="5760"/>
          <w:tab w:val="left" w:pos="8640"/>
        </w:tabs>
        <w:rPr>
          <w:rFonts w:cs="Arial"/>
          <w:bCs/>
          <w:szCs w:val="22"/>
          <w:lang w:eastAsia="ja-JP"/>
        </w:rPr>
      </w:pPr>
      <w:r w:rsidRPr="00C83803">
        <w:rPr>
          <w:rFonts w:cs="Arial"/>
          <w:b/>
          <w:bCs/>
        </w:rPr>
        <w:t>The Role of the Gut Microbiome in the Etiology of Sarcopenia</w:t>
      </w:r>
    </w:p>
    <w:p w14:paraId="40B561DA" w14:textId="45612CE7" w:rsidR="00C83803" w:rsidRDefault="00C83803" w:rsidP="00C83803">
      <w:pPr>
        <w:tabs>
          <w:tab w:val="left" w:pos="5760"/>
          <w:tab w:val="left" w:pos="8640"/>
        </w:tabs>
        <w:rPr>
          <w:rFonts w:cs="Arial"/>
          <w:bCs/>
          <w:szCs w:val="22"/>
          <w:lang w:eastAsia="ja-JP"/>
        </w:rPr>
      </w:pPr>
      <w:r w:rsidRPr="001F3D4C">
        <w:rPr>
          <w:rFonts w:cs="Arial"/>
          <w:bCs/>
          <w:szCs w:val="22"/>
          <w:lang w:eastAsia="ja-JP"/>
        </w:rPr>
        <w:t xml:space="preserve">Role: </w:t>
      </w:r>
      <w:r w:rsidR="00753059">
        <w:rPr>
          <w:rFonts w:cs="Arial"/>
          <w:bCs/>
          <w:szCs w:val="22"/>
          <w:lang w:eastAsia="ja-JP"/>
        </w:rPr>
        <w:t>Collaborator</w:t>
      </w:r>
      <w:r>
        <w:rPr>
          <w:rFonts w:cs="Arial"/>
          <w:bCs/>
          <w:szCs w:val="22"/>
          <w:lang w:eastAsia="ja-JP"/>
        </w:rPr>
        <w:t xml:space="preserve"> (PI: </w:t>
      </w:r>
      <w:r w:rsidRPr="00C83803">
        <w:rPr>
          <w:rFonts w:cs="Arial"/>
          <w:bCs/>
          <w:szCs w:val="22"/>
          <w:lang w:eastAsia="ja-JP"/>
        </w:rPr>
        <w:t>McCarthy, JJ</w:t>
      </w:r>
      <w:r>
        <w:rPr>
          <w:rFonts w:cs="Arial"/>
          <w:bCs/>
          <w:szCs w:val="22"/>
          <w:lang w:eastAsia="ja-JP"/>
        </w:rPr>
        <w:t>)</w:t>
      </w:r>
    </w:p>
    <w:p w14:paraId="0977BEE4" w14:textId="7770FA34" w:rsidR="00C83803" w:rsidRPr="00DE5B26" w:rsidRDefault="00C83803" w:rsidP="00C83803">
      <w:pPr>
        <w:tabs>
          <w:tab w:val="left" w:pos="5760"/>
          <w:tab w:val="left" w:pos="8640"/>
        </w:tabs>
        <w:rPr>
          <w:rFonts w:cs="Arial"/>
          <w:bCs/>
          <w:szCs w:val="22"/>
          <w:lang w:eastAsia="ja-JP"/>
        </w:rPr>
      </w:pPr>
      <w:r w:rsidRPr="00C83803">
        <w:rPr>
          <w:szCs w:val="22"/>
        </w:rPr>
        <w:t>07/2021 – 06/2023</w:t>
      </w:r>
    </w:p>
    <w:p w14:paraId="1769AA39" w14:textId="77777777" w:rsidR="00753059" w:rsidRDefault="00753059" w:rsidP="00753059">
      <w:pPr>
        <w:rPr>
          <w:rFonts w:cs="Arial"/>
        </w:rPr>
      </w:pPr>
      <w:r>
        <w:rPr>
          <w:rFonts w:cs="Arial"/>
        </w:rPr>
        <w:t>Goals: Identify the role the gut microbiota plays in skeletal muscle structure and function in sarcopenia and healthy states to elucidate potential microbiota-based treatments</w:t>
      </w:r>
    </w:p>
    <w:p w14:paraId="6F753241" w14:textId="77777777" w:rsidR="00C83803" w:rsidRPr="00A128A0" w:rsidRDefault="00C83803" w:rsidP="002C51BC">
      <w:pPr>
        <w:pStyle w:val="DataField11pt-Single"/>
        <w:rPr>
          <w:rStyle w:val="Strong"/>
        </w:rPr>
      </w:pPr>
    </w:p>
    <w:p w14:paraId="3D13F122" w14:textId="31259AC0" w:rsidR="00721457" w:rsidRDefault="002C51BC" w:rsidP="00315B26">
      <w:pPr>
        <w:rPr>
          <w:rFonts w:cs="Arial"/>
          <w:b/>
        </w:rPr>
      </w:pPr>
      <w:r w:rsidRPr="00A128A0">
        <w:rPr>
          <w:rStyle w:val="Strong"/>
        </w:rPr>
        <w:t>B.</w:t>
      </w:r>
      <w:r w:rsidRPr="00A128A0">
        <w:rPr>
          <w:rStyle w:val="Strong"/>
        </w:rPr>
        <w:tab/>
        <w:t>Positions</w:t>
      </w:r>
      <w:r w:rsidR="00624774">
        <w:rPr>
          <w:rStyle w:val="Strong"/>
        </w:rPr>
        <w:t>, Scientific Appointments,</w:t>
      </w:r>
      <w:r w:rsidRPr="00A128A0">
        <w:rPr>
          <w:rStyle w:val="Strong"/>
        </w:rPr>
        <w:t xml:space="preserve"> and Honors</w:t>
      </w:r>
      <w:r w:rsidR="00FE10AD">
        <w:rPr>
          <w:rStyle w:val="Strong"/>
        </w:rPr>
        <w:br/>
      </w:r>
    </w:p>
    <w:p w14:paraId="32D848EE" w14:textId="6E9AA0B3" w:rsidR="002E0445" w:rsidRPr="003876FB" w:rsidRDefault="002E0445" w:rsidP="00315B26">
      <w:pPr>
        <w:rPr>
          <w:rFonts w:cs="Arial"/>
          <w:b/>
        </w:rPr>
      </w:pPr>
      <w:r w:rsidRPr="003876FB">
        <w:rPr>
          <w:rFonts w:cs="Arial"/>
          <w:b/>
        </w:rPr>
        <w:t>Positions:</w:t>
      </w:r>
    </w:p>
    <w:p w14:paraId="3ECE0F1C" w14:textId="77777777" w:rsidR="00721457" w:rsidRDefault="00721457" w:rsidP="00721457">
      <w:pPr>
        <w:ind w:left="1620" w:hanging="1620"/>
        <w:rPr>
          <w:rFonts w:cs="Arial"/>
        </w:rPr>
      </w:pPr>
      <w:r>
        <w:rPr>
          <w:rFonts w:cs="Arial"/>
        </w:rPr>
        <w:t>2019-present</w:t>
      </w:r>
      <w:r>
        <w:rPr>
          <w:rFonts w:cs="Arial"/>
        </w:rPr>
        <w:tab/>
      </w:r>
      <w:r w:rsidRPr="008F49F5">
        <w:rPr>
          <w:rFonts w:cs="Arial"/>
          <w:b/>
          <w:bCs/>
        </w:rPr>
        <w:t>Director</w:t>
      </w:r>
      <w:r>
        <w:rPr>
          <w:rFonts w:cs="Arial"/>
        </w:rPr>
        <w:t>, Graduate Program in Kinesiology and Applied Physiology</w:t>
      </w:r>
    </w:p>
    <w:p w14:paraId="16964DC9" w14:textId="77777777" w:rsidR="00721457" w:rsidRPr="003876FB" w:rsidRDefault="00721457" w:rsidP="00721457">
      <w:pPr>
        <w:ind w:left="1620" w:hanging="1620"/>
        <w:rPr>
          <w:rFonts w:cs="Arial"/>
        </w:rPr>
      </w:pPr>
      <w:r w:rsidRPr="003876FB">
        <w:rPr>
          <w:rFonts w:cs="Arial"/>
        </w:rPr>
        <w:t>2018- present</w:t>
      </w:r>
      <w:r>
        <w:rPr>
          <w:rFonts w:cs="Arial"/>
        </w:rPr>
        <w:tab/>
      </w:r>
      <w:r w:rsidRPr="003876FB">
        <w:rPr>
          <w:rFonts w:cs="Arial"/>
          <w:b/>
        </w:rPr>
        <w:t>Associate Professor</w:t>
      </w:r>
      <w:r w:rsidRPr="003876FB">
        <w:rPr>
          <w:rFonts w:cs="Arial"/>
        </w:rPr>
        <w:t>, Department of Kinesiology and Health,</w:t>
      </w:r>
      <w:r>
        <w:rPr>
          <w:rFonts w:cs="Arial"/>
        </w:rPr>
        <w:br/>
      </w:r>
      <w:r w:rsidRPr="003876FB">
        <w:rPr>
          <w:rFonts w:cs="Arial"/>
        </w:rPr>
        <w:t>School of Arts and Sciences, Rutgers University, New Brunswick, New Jersey</w:t>
      </w:r>
    </w:p>
    <w:p w14:paraId="4A3A6F56" w14:textId="6F7756F5" w:rsidR="00721457" w:rsidRDefault="00721457" w:rsidP="00315B26">
      <w:pPr>
        <w:ind w:left="1620" w:hanging="1620"/>
        <w:rPr>
          <w:rFonts w:cs="Arial"/>
        </w:rPr>
      </w:pPr>
      <w:r w:rsidRPr="003876FB">
        <w:rPr>
          <w:rFonts w:cs="Arial"/>
        </w:rPr>
        <w:t>2010 – 2018</w:t>
      </w:r>
      <w:r>
        <w:rPr>
          <w:rFonts w:cs="Arial"/>
        </w:rPr>
        <w:tab/>
      </w:r>
      <w:r w:rsidRPr="003876FB">
        <w:rPr>
          <w:rFonts w:cs="Arial"/>
          <w:b/>
        </w:rPr>
        <w:t>Assistant Professor</w:t>
      </w:r>
      <w:r w:rsidRPr="003876FB">
        <w:rPr>
          <w:rFonts w:cs="Arial"/>
        </w:rPr>
        <w:t>, Department of Kinesiology and Health,</w:t>
      </w:r>
      <w:r>
        <w:rPr>
          <w:rFonts w:cs="Arial"/>
        </w:rPr>
        <w:br/>
      </w:r>
      <w:r w:rsidRPr="003876FB">
        <w:rPr>
          <w:rFonts w:cs="Arial"/>
        </w:rPr>
        <w:t>School of Arts and Sciences, Rutgers University, New Brunswick, New Jersey</w:t>
      </w:r>
    </w:p>
    <w:p w14:paraId="23AF146A" w14:textId="77777777" w:rsidR="00721457" w:rsidRPr="003876FB" w:rsidRDefault="00721457" w:rsidP="00721457">
      <w:pPr>
        <w:ind w:left="1620" w:hanging="1620"/>
        <w:rPr>
          <w:rFonts w:cs="Arial"/>
        </w:rPr>
      </w:pPr>
      <w:r w:rsidRPr="003876FB">
        <w:rPr>
          <w:rFonts w:cs="Arial"/>
        </w:rPr>
        <w:t>2007 - 2010</w:t>
      </w:r>
      <w:r>
        <w:rPr>
          <w:rFonts w:cs="Arial"/>
        </w:rPr>
        <w:tab/>
      </w:r>
      <w:r w:rsidRPr="003876FB">
        <w:rPr>
          <w:rFonts w:cs="Arial"/>
          <w:b/>
        </w:rPr>
        <w:t>Postdoctoral Fellow</w:t>
      </w:r>
      <w:r w:rsidRPr="003876FB">
        <w:rPr>
          <w:rFonts w:cs="Arial"/>
        </w:rPr>
        <w:t xml:space="preserve">, Department of Nutrition, Food &amp; Exercise Sciences, </w:t>
      </w:r>
      <w:r>
        <w:rPr>
          <w:rFonts w:cs="Arial"/>
        </w:rPr>
        <w:br/>
      </w:r>
      <w:r w:rsidRPr="003876FB">
        <w:rPr>
          <w:rFonts w:cs="Arial"/>
        </w:rPr>
        <w:t>College of Human Sciences, Florida State University, Tallahassee, Florida</w:t>
      </w:r>
    </w:p>
    <w:p w14:paraId="67770CFD" w14:textId="77777777" w:rsidR="00721457" w:rsidRPr="003876FB" w:rsidRDefault="00721457" w:rsidP="00721457">
      <w:pPr>
        <w:ind w:left="1620" w:hanging="1620"/>
        <w:rPr>
          <w:rFonts w:cs="Arial"/>
        </w:rPr>
      </w:pPr>
      <w:r>
        <w:rPr>
          <w:rFonts w:cs="Arial"/>
        </w:rPr>
        <w:t>2005 – 2007</w:t>
      </w:r>
      <w:r>
        <w:rPr>
          <w:rFonts w:cs="Arial"/>
        </w:rPr>
        <w:tab/>
      </w:r>
      <w:r w:rsidRPr="003876FB">
        <w:rPr>
          <w:rFonts w:cs="Arial"/>
          <w:b/>
        </w:rPr>
        <w:t>Adjunct Faculty Member</w:t>
      </w:r>
      <w:r w:rsidRPr="003876FB">
        <w:rPr>
          <w:rFonts w:cs="Arial"/>
        </w:rPr>
        <w:t>, Department of Allied Health Education, Southwest Georgia Technical College, Thomasville, Georgia</w:t>
      </w:r>
    </w:p>
    <w:p w14:paraId="1DF72B5A" w14:textId="77777777" w:rsidR="00721457" w:rsidRPr="003876FB" w:rsidRDefault="00721457" w:rsidP="00721457">
      <w:pPr>
        <w:ind w:left="1620" w:hanging="1620"/>
        <w:rPr>
          <w:rFonts w:cs="Arial"/>
        </w:rPr>
      </w:pPr>
      <w:r w:rsidRPr="003876FB">
        <w:rPr>
          <w:rFonts w:cs="Arial"/>
        </w:rPr>
        <w:t>2001- 2007</w:t>
      </w:r>
      <w:r w:rsidRPr="003876FB">
        <w:rPr>
          <w:rFonts w:cs="Arial"/>
        </w:rPr>
        <w:tab/>
      </w:r>
      <w:r w:rsidRPr="003876FB">
        <w:rPr>
          <w:rFonts w:cs="Arial"/>
          <w:b/>
        </w:rPr>
        <w:t>Graduate Assistant</w:t>
      </w:r>
      <w:r w:rsidRPr="003876FB">
        <w:rPr>
          <w:rFonts w:cs="Arial"/>
        </w:rPr>
        <w:t>, Department of Nutrition, Food and Exercise Sciences College of Human Sciences, Florida State University, Tallahassee, Florida</w:t>
      </w:r>
    </w:p>
    <w:p w14:paraId="6440B4C3" w14:textId="77777777" w:rsidR="00721457" w:rsidRPr="003876FB" w:rsidRDefault="00721457" w:rsidP="00721457">
      <w:pPr>
        <w:ind w:left="1620" w:hanging="1620"/>
        <w:rPr>
          <w:rFonts w:cs="Arial"/>
        </w:rPr>
      </w:pPr>
      <w:r w:rsidRPr="003876FB">
        <w:rPr>
          <w:rFonts w:cs="Arial"/>
        </w:rPr>
        <w:t>2001</w:t>
      </w:r>
      <w:r w:rsidRPr="003876FB">
        <w:rPr>
          <w:rFonts w:cs="Arial"/>
        </w:rPr>
        <w:tab/>
      </w:r>
      <w:r w:rsidRPr="003876FB">
        <w:rPr>
          <w:rFonts w:cs="Arial"/>
          <w:b/>
        </w:rPr>
        <w:t>Research Intern</w:t>
      </w:r>
      <w:r w:rsidRPr="003876FB">
        <w:rPr>
          <w:rFonts w:cs="Arial"/>
        </w:rPr>
        <w:t>, United States Olympic Committee, United States Olympic Training Center, Lake Placid, New York</w:t>
      </w:r>
    </w:p>
    <w:p w14:paraId="0B5E6EE5" w14:textId="42080F29" w:rsidR="00684E37" w:rsidRPr="003876FB" w:rsidRDefault="00684E37" w:rsidP="00315B26">
      <w:pPr>
        <w:ind w:left="1620" w:hanging="1620"/>
        <w:rPr>
          <w:rFonts w:cs="Arial"/>
        </w:rPr>
      </w:pPr>
      <w:r w:rsidRPr="003876FB">
        <w:rPr>
          <w:rFonts w:cs="Arial"/>
        </w:rPr>
        <w:t>1999 - 2001</w:t>
      </w:r>
      <w:r w:rsidRPr="003876FB">
        <w:rPr>
          <w:rFonts w:cs="Arial"/>
        </w:rPr>
        <w:tab/>
      </w:r>
      <w:r w:rsidRPr="003876FB">
        <w:rPr>
          <w:rFonts w:cs="Arial"/>
          <w:b/>
        </w:rPr>
        <w:t>Graduate Assistant</w:t>
      </w:r>
      <w:r w:rsidRPr="003876FB">
        <w:rPr>
          <w:rFonts w:cs="Arial"/>
        </w:rPr>
        <w:t>, Department of Exercise Science and Athletics, College of Liberal Arts, Bloomsburg University of Pennsylvania, Bloomsburg, Pennsylvania</w:t>
      </w:r>
    </w:p>
    <w:p w14:paraId="09EF6E29" w14:textId="77777777" w:rsidR="00684E37" w:rsidRDefault="00684E37" w:rsidP="002E0445">
      <w:pPr>
        <w:ind w:left="-90"/>
        <w:rPr>
          <w:rFonts w:cs="Arial"/>
        </w:rPr>
      </w:pPr>
    </w:p>
    <w:p w14:paraId="67DB1C60" w14:textId="17F00B02" w:rsidR="00624774" w:rsidRDefault="00624774" w:rsidP="002C51BC">
      <w:pPr>
        <w:pStyle w:val="DataField11pt-Single"/>
        <w:rPr>
          <w:rStyle w:val="Strong"/>
        </w:rPr>
      </w:pPr>
      <w:r>
        <w:rPr>
          <w:rStyle w:val="Strong"/>
        </w:rPr>
        <w:t>Scientific Appointments</w:t>
      </w:r>
    </w:p>
    <w:p w14:paraId="2AE36903" w14:textId="77777777" w:rsidR="00624774" w:rsidRPr="002E0445" w:rsidRDefault="00624774" w:rsidP="00624774">
      <w:pPr>
        <w:numPr>
          <w:ilvl w:val="0"/>
          <w:numId w:val="19"/>
        </w:numPr>
        <w:autoSpaceDE/>
        <w:autoSpaceDN/>
        <w:rPr>
          <w:rFonts w:cs="Arial"/>
        </w:rPr>
      </w:pPr>
      <w:r w:rsidRPr="003876FB">
        <w:rPr>
          <w:rFonts w:cs="Arial"/>
        </w:rPr>
        <w:t>Editorial Board Member – Journal of Nutrition and Food Sciences (2010 - present)</w:t>
      </w:r>
    </w:p>
    <w:p w14:paraId="3AB6202C" w14:textId="4468B7E2" w:rsidR="00624774" w:rsidRDefault="00624774" w:rsidP="00624774">
      <w:pPr>
        <w:numPr>
          <w:ilvl w:val="0"/>
          <w:numId w:val="19"/>
        </w:numPr>
        <w:autoSpaceDE/>
        <w:autoSpaceDN/>
        <w:rPr>
          <w:rFonts w:cs="Arial"/>
        </w:rPr>
      </w:pPr>
      <w:r w:rsidRPr="003876FB">
        <w:rPr>
          <w:rFonts w:cs="Arial"/>
        </w:rPr>
        <w:t>Editorial Board Member – Journal of Nutritional Disorders &amp; Therapies (2012-present)</w:t>
      </w:r>
    </w:p>
    <w:p w14:paraId="75C35A75" w14:textId="77777777" w:rsidR="00624774" w:rsidRPr="003876FB" w:rsidRDefault="00624774" w:rsidP="00624774">
      <w:pPr>
        <w:numPr>
          <w:ilvl w:val="0"/>
          <w:numId w:val="19"/>
        </w:numPr>
        <w:autoSpaceDE/>
        <w:autoSpaceDN/>
        <w:rPr>
          <w:rFonts w:cs="Arial"/>
        </w:rPr>
      </w:pPr>
      <w:r w:rsidRPr="003876FB">
        <w:rPr>
          <w:rFonts w:cs="Arial"/>
        </w:rPr>
        <w:t>Editorial Board Member – Journal of the International Society for Sports Nutrition (2014-present)</w:t>
      </w:r>
    </w:p>
    <w:p w14:paraId="00631FB0" w14:textId="29F2FEC9" w:rsidR="00624774" w:rsidRDefault="00624774" w:rsidP="00624774">
      <w:pPr>
        <w:numPr>
          <w:ilvl w:val="0"/>
          <w:numId w:val="19"/>
        </w:numPr>
        <w:autoSpaceDE/>
        <w:autoSpaceDN/>
        <w:rPr>
          <w:rFonts w:cs="Arial"/>
        </w:rPr>
      </w:pPr>
      <w:r w:rsidRPr="003876FB">
        <w:rPr>
          <w:rFonts w:cs="Arial"/>
        </w:rPr>
        <w:t>Editorial Board Member – Journal of Clinical Nutrition and Gastroenterology (2014-present)</w:t>
      </w:r>
    </w:p>
    <w:p w14:paraId="6A253E08" w14:textId="496CB9CC" w:rsidR="00624774" w:rsidRDefault="00624774" w:rsidP="00624774">
      <w:pPr>
        <w:numPr>
          <w:ilvl w:val="0"/>
          <w:numId w:val="19"/>
        </w:numPr>
        <w:autoSpaceDE/>
        <w:autoSpaceDN/>
        <w:rPr>
          <w:rFonts w:cs="Arial"/>
        </w:rPr>
      </w:pPr>
      <w:r>
        <w:rPr>
          <w:rFonts w:cs="Arial"/>
        </w:rPr>
        <w:t>Editorial Board Member - Journal of Nutrition (2021-present)</w:t>
      </w:r>
    </w:p>
    <w:p w14:paraId="6B20A84A" w14:textId="36F46CB9" w:rsidR="00624774" w:rsidRPr="00624774" w:rsidRDefault="00624774" w:rsidP="00624774">
      <w:pPr>
        <w:numPr>
          <w:ilvl w:val="0"/>
          <w:numId w:val="19"/>
        </w:numPr>
        <w:autoSpaceDE/>
        <w:autoSpaceDN/>
        <w:rPr>
          <w:rFonts w:cs="Arial"/>
        </w:rPr>
      </w:pPr>
      <w:r>
        <w:rPr>
          <w:rFonts w:cs="Arial"/>
        </w:rPr>
        <w:lastRenderedPageBreak/>
        <w:t>Steering Committee – Genetic and Biological determinants of Physical Activity (</w:t>
      </w:r>
      <w:proofErr w:type="spellStart"/>
      <w:r>
        <w:rPr>
          <w:rFonts w:cs="Arial"/>
        </w:rPr>
        <w:t>GenBioPAC</w:t>
      </w:r>
      <w:proofErr w:type="spellEnd"/>
      <w:r>
        <w:rPr>
          <w:rFonts w:cs="Arial"/>
        </w:rPr>
        <w:t>) (2022- present)</w:t>
      </w:r>
    </w:p>
    <w:p w14:paraId="35291679" w14:textId="77777777" w:rsidR="00E667D5" w:rsidRDefault="00E667D5" w:rsidP="002C51BC">
      <w:pPr>
        <w:pStyle w:val="DataField11pt-Single"/>
        <w:rPr>
          <w:rStyle w:val="Strong"/>
        </w:rPr>
      </w:pPr>
    </w:p>
    <w:p w14:paraId="2AB7A0F5" w14:textId="7272B224" w:rsidR="002C51BC" w:rsidRDefault="002E0445" w:rsidP="002C51BC">
      <w:pPr>
        <w:pStyle w:val="DataField11pt-Single"/>
        <w:rPr>
          <w:rStyle w:val="Strong"/>
        </w:rPr>
      </w:pPr>
      <w:r>
        <w:rPr>
          <w:rStyle w:val="Strong"/>
        </w:rPr>
        <w:t xml:space="preserve">Honors: </w:t>
      </w:r>
    </w:p>
    <w:p w14:paraId="21539B56" w14:textId="6B3D9BC3" w:rsidR="002E0445" w:rsidRDefault="002E0445" w:rsidP="002E0445">
      <w:pPr>
        <w:numPr>
          <w:ilvl w:val="0"/>
          <w:numId w:val="19"/>
        </w:numPr>
        <w:autoSpaceDE/>
        <w:autoSpaceDN/>
        <w:rPr>
          <w:rFonts w:cs="Arial"/>
        </w:rPr>
      </w:pPr>
      <w:r>
        <w:rPr>
          <w:rFonts w:cs="Arial"/>
        </w:rPr>
        <w:t>Regional Representative Mid-Atlantic ASCM 2018-</w:t>
      </w:r>
      <w:r w:rsidR="00624774">
        <w:rPr>
          <w:rFonts w:cs="Arial"/>
        </w:rPr>
        <w:t>present</w:t>
      </w:r>
    </w:p>
    <w:p w14:paraId="1F7AFC93" w14:textId="77777777" w:rsidR="002E0445" w:rsidRPr="003876FB" w:rsidRDefault="002E0445" w:rsidP="002E0445">
      <w:pPr>
        <w:numPr>
          <w:ilvl w:val="0"/>
          <w:numId w:val="19"/>
        </w:numPr>
        <w:autoSpaceDE/>
        <w:autoSpaceDN/>
        <w:rPr>
          <w:rFonts w:cs="Arial"/>
        </w:rPr>
      </w:pPr>
      <w:r w:rsidRPr="003876FB">
        <w:rPr>
          <w:rFonts w:cs="Arial"/>
        </w:rPr>
        <w:t>President, Mid-Atlantic ACSM, 2016-2017</w:t>
      </w:r>
    </w:p>
    <w:p w14:paraId="4C384E12" w14:textId="59FBC0CF" w:rsidR="002E0445" w:rsidRDefault="002E0445" w:rsidP="002E0445">
      <w:pPr>
        <w:numPr>
          <w:ilvl w:val="0"/>
          <w:numId w:val="19"/>
        </w:numPr>
        <w:autoSpaceDE/>
        <w:autoSpaceDN/>
        <w:rPr>
          <w:rFonts w:cs="Arial"/>
        </w:rPr>
      </w:pPr>
      <w:r w:rsidRPr="003876FB">
        <w:rPr>
          <w:rFonts w:cs="Arial"/>
        </w:rPr>
        <w:t>Fellow, American College of Sports Medicine, 2016-present</w:t>
      </w:r>
    </w:p>
    <w:p w14:paraId="2A20A99B" w14:textId="77777777" w:rsidR="00624774" w:rsidRPr="003876FB" w:rsidRDefault="00624774" w:rsidP="00624774">
      <w:pPr>
        <w:autoSpaceDE/>
        <w:autoSpaceDN/>
        <w:rPr>
          <w:rFonts w:cs="Arial"/>
        </w:rPr>
      </w:pPr>
    </w:p>
    <w:p w14:paraId="5F60DC57" w14:textId="13FAD835" w:rsidR="002E0445" w:rsidRPr="003876FB" w:rsidRDefault="002C51BC" w:rsidP="00752A85">
      <w:pPr>
        <w:rPr>
          <w:rFonts w:cs="Arial"/>
          <w:b/>
        </w:rPr>
      </w:pPr>
      <w:r w:rsidRPr="00A128A0">
        <w:rPr>
          <w:rStyle w:val="Strong"/>
        </w:rPr>
        <w:t>C.</w:t>
      </w:r>
      <w:r w:rsidRPr="00A128A0">
        <w:rPr>
          <w:rStyle w:val="Strong"/>
        </w:rPr>
        <w:tab/>
        <w:t>Contributions to Science</w:t>
      </w:r>
      <w:r w:rsidR="00FE10AD">
        <w:rPr>
          <w:rStyle w:val="Strong"/>
        </w:rPr>
        <w:br/>
      </w:r>
      <w:r w:rsidR="002E0445" w:rsidRPr="003876FB">
        <w:rPr>
          <w:rFonts w:cs="Arial"/>
          <w:b/>
        </w:rPr>
        <w:t>1. Exercise mediates intestinal inflammation and improves mic</w:t>
      </w:r>
      <w:r w:rsidR="00BA281A">
        <w:rPr>
          <w:rFonts w:cs="Arial"/>
          <w:b/>
        </w:rPr>
        <w:t>robial community structure</w:t>
      </w:r>
    </w:p>
    <w:p w14:paraId="21F1CE19" w14:textId="77777777" w:rsidR="002E0445" w:rsidRPr="003876FB" w:rsidRDefault="002E0445" w:rsidP="00315B26">
      <w:pPr>
        <w:jc w:val="both"/>
        <w:rPr>
          <w:rFonts w:cs="Arial"/>
        </w:rPr>
      </w:pPr>
      <w:r w:rsidRPr="003876FB">
        <w:rPr>
          <w:rFonts w:cs="Arial"/>
        </w:rPr>
        <w:t xml:space="preserve">Intellectual Merit: The major findings of these studies indicate that: (1) high-fat diets altered intestinal morphology particularly of the duodenum; (2) exercise protected duodenal morphology in the presence of a high-fat diet; (3) high-fat diets increased intestinal inflammation in all intestinal segments (duodenum, ileum and colon) and exercise reduced it; (4) exercise manifested a unique microbiome independent of diet; (5) exercise reduced blood levels of IL-6, insulin and ghrelin and increased levels of satiety related hormones. We observed that high fat diets accompanied with sedentary behavior increased the width of duodenal villi. We are the first using IHC to substantiate in situ inflammation and loss of intestinal integrity due to high fat diet and sedentary lifestyle in mice. </w:t>
      </w:r>
    </w:p>
    <w:p w14:paraId="547C5C6A" w14:textId="77777777" w:rsidR="002E0445" w:rsidRPr="003876FB" w:rsidRDefault="002E0445" w:rsidP="002E0445">
      <w:pPr>
        <w:ind w:left="-90"/>
        <w:rPr>
          <w:rFonts w:cs="Arial"/>
        </w:rPr>
      </w:pPr>
    </w:p>
    <w:p w14:paraId="018FB52E" w14:textId="3AC73553" w:rsidR="002E0445" w:rsidRPr="003876FB" w:rsidRDefault="002E0445" w:rsidP="00315B26">
      <w:pPr>
        <w:ind w:left="270" w:hanging="360"/>
        <w:rPr>
          <w:rFonts w:cs="Arial"/>
        </w:rPr>
      </w:pPr>
      <w:r w:rsidRPr="003876FB">
        <w:rPr>
          <w:rFonts w:cs="Arial"/>
        </w:rPr>
        <w:t>1.</w:t>
      </w:r>
      <w:r w:rsidRPr="003876FB">
        <w:rPr>
          <w:rFonts w:cs="Arial"/>
          <w:b/>
        </w:rPr>
        <w:t xml:space="preserve"> </w:t>
      </w:r>
      <w:r w:rsidR="00752A85">
        <w:rPr>
          <w:rFonts w:cs="Arial"/>
          <w:b/>
        </w:rPr>
        <w:tab/>
      </w:r>
      <w:r w:rsidRPr="003876FB">
        <w:rPr>
          <w:rFonts w:cs="Arial"/>
          <w:b/>
        </w:rPr>
        <w:t>Campbell S.C.</w:t>
      </w:r>
      <w:r w:rsidRPr="003876FB">
        <w:rPr>
          <w:rFonts w:cs="Arial"/>
        </w:rPr>
        <w:t xml:space="preserve">, PJ Wisniewski, M. </w:t>
      </w:r>
      <w:proofErr w:type="spellStart"/>
      <w:r w:rsidRPr="003876FB">
        <w:rPr>
          <w:rFonts w:cs="Arial"/>
        </w:rPr>
        <w:t>Noji</w:t>
      </w:r>
      <w:proofErr w:type="spellEnd"/>
      <w:r w:rsidRPr="003876FB">
        <w:rPr>
          <w:rFonts w:cs="Arial"/>
        </w:rPr>
        <w:t xml:space="preserve">, L McGuiness, MM </w:t>
      </w:r>
      <w:proofErr w:type="spellStart"/>
      <w:r w:rsidRPr="003876FB">
        <w:rPr>
          <w:rFonts w:cs="Arial"/>
        </w:rPr>
        <w:t>Häggblom</w:t>
      </w:r>
      <w:proofErr w:type="spellEnd"/>
      <w:r w:rsidRPr="003876FB">
        <w:rPr>
          <w:rFonts w:cs="Arial"/>
        </w:rPr>
        <w:t xml:space="preserve">, LB Joseph, SA Lightfoot, LJ Kerkhof. (2016). Exercise protects intestinal morphology and integrity while reducing inflammation in animals fed a high-fat diet. </w:t>
      </w:r>
      <w:proofErr w:type="spellStart"/>
      <w:r w:rsidRPr="003876FB">
        <w:rPr>
          <w:rFonts w:cs="Arial"/>
        </w:rPr>
        <w:t>PLoS</w:t>
      </w:r>
      <w:proofErr w:type="spellEnd"/>
      <w:r w:rsidRPr="003876FB">
        <w:rPr>
          <w:rFonts w:cs="Arial"/>
        </w:rPr>
        <w:t xml:space="preserve"> One.</w:t>
      </w:r>
      <w:r w:rsidRPr="003876FB">
        <w:rPr>
          <w:rFonts w:cs="Arial"/>
          <w:i/>
        </w:rPr>
        <w:t xml:space="preserve">). </w:t>
      </w:r>
      <w:r w:rsidRPr="003876FB">
        <w:rPr>
          <w:rFonts w:cs="Arial"/>
        </w:rPr>
        <w:t>2016 Mar 8;11(3</w:t>
      </w:r>
      <w:proofErr w:type="gramStart"/>
      <w:r w:rsidRPr="003876FB">
        <w:rPr>
          <w:rFonts w:cs="Arial"/>
        </w:rPr>
        <w:t>):e</w:t>
      </w:r>
      <w:proofErr w:type="gramEnd"/>
      <w:r w:rsidRPr="003876FB">
        <w:rPr>
          <w:rFonts w:cs="Arial"/>
        </w:rPr>
        <w:t>0150502.</w:t>
      </w:r>
      <w:r w:rsidR="00542C1F">
        <w:rPr>
          <w:rFonts w:cs="Arial"/>
        </w:rPr>
        <w:t xml:space="preserve"> </w:t>
      </w:r>
      <w:r w:rsidR="00542C1F" w:rsidRPr="00542C1F">
        <w:rPr>
          <w:rFonts w:cs="Arial"/>
        </w:rPr>
        <w:t>PMCID: PMC4783017</w:t>
      </w:r>
      <w:r w:rsidR="003472E1">
        <w:rPr>
          <w:rFonts w:cs="Arial"/>
        </w:rPr>
        <w:t>.</w:t>
      </w:r>
    </w:p>
    <w:p w14:paraId="38DC053B" w14:textId="4F29EEDF" w:rsidR="002E0445" w:rsidRPr="003876FB" w:rsidRDefault="002E0445" w:rsidP="00315B26">
      <w:pPr>
        <w:ind w:left="270" w:hanging="360"/>
        <w:rPr>
          <w:rFonts w:cs="Arial"/>
        </w:rPr>
      </w:pPr>
      <w:r w:rsidRPr="003876FB">
        <w:rPr>
          <w:rFonts w:cs="Arial"/>
        </w:rPr>
        <w:t xml:space="preserve">2. </w:t>
      </w:r>
      <w:r w:rsidR="00752A85">
        <w:rPr>
          <w:rFonts w:cs="Arial"/>
        </w:rPr>
        <w:tab/>
      </w:r>
      <w:r w:rsidRPr="003876FB">
        <w:rPr>
          <w:rFonts w:cs="Arial"/>
          <w:b/>
        </w:rPr>
        <w:t>Campbell, S.C.</w:t>
      </w:r>
      <w:r w:rsidRPr="003876FB">
        <w:rPr>
          <w:rFonts w:cs="Arial"/>
        </w:rPr>
        <w:t>, Wisniewski, P.J. (Jan 2017). Exercise is a novel promoter of intestinal health and microbial diversity. Invited Review. Exercise and Sport Sciences Reviews (IF - 4.259) 45(1); 41-47.</w:t>
      </w:r>
      <w:r w:rsidR="003472E1">
        <w:rPr>
          <w:rFonts w:cs="Arial"/>
        </w:rPr>
        <w:t xml:space="preserve"> </w:t>
      </w:r>
      <w:r w:rsidR="003472E1" w:rsidRPr="003472E1">
        <w:rPr>
          <w:rFonts w:cs="Arial"/>
        </w:rPr>
        <w:t>PMID: 27782912</w:t>
      </w:r>
      <w:r w:rsidR="003472E1">
        <w:rPr>
          <w:rFonts w:cs="Arial"/>
        </w:rPr>
        <w:t>.</w:t>
      </w:r>
    </w:p>
    <w:p w14:paraId="77695C52" w14:textId="16BDAEB7" w:rsidR="002E0445" w:rsidRPr="003876FB" w:rsidRDefault="002E0445" w:rsidP="00315B26">
      <w:pPr>
        <w:ind w:left="270" w:hanging="360"/>
        <w:rPr>
          <w:rFonts w:cs="Arial"/>
        </w:rPr>
      </w:pPr>
      <w:r w:rsidRPr="003876FB">
        <w:rPr>
          <w:rFonts w:cs="Arial"/>
        </w:rPr>
        <w:t xml:space="preserve">3. </w:t>
      </w:r>
      <w:r w:rsidR="00752A85">
        <w:rPr>
          <w:rFonts w:cs="Arial"/>
        </w:rPr>
        <w:tab/>
      </w:r>
      <w:r w:rsidRPr="003876FB">
        <w:rPr>
          <w:rFonts w:cs="Arial"/>
        </w:rPr>
        <w:t xml:space="preserve">Wisniewski, P.J., Joseph, L.B., </w:t>
      </w:r>
      <w:proofErr w:type="spellStart"/>
      <w:r w:rsidRPr="003876FB">
        <w:rPr>
          <w:rFonts w:cs="Arial"/>
        </w:rPr>
        <w:t>Composto</w:t>
      </w:r>
      <w:proofErr w:type="spellEnd"/>
      <w:r w:rsidRPr="003876FB">
        <w:rPr>
          <w:rFonts w:cs="Arial"/>
        </w:rPr>
        <w:t xml:space="preserve">, G., Gardner, C., Lightfoot, S.A., </w:t>
      </w:r>
      <w:r w:rsidRPr="003876FB">
        <w:rPr>
          <w:rFonts w:cs="Arial"/>
          <w:b/>
        </w:rPr>
        <w:t>Campbell, S.C.</w:t>
      </w:r>
      <w:r w:rsidRPr="003876FB">
        <w:rPr>
          <w:rFonts w:cs="Arial"/>
        </w:rPr>
        <w:t xml:space="preserve"> (201</w:t>
      </w:r>
      <w:r>
        <w:rPr>
          <w:rFonts w:cs="Arial"/>
        </w:rPr>
        <w:t>9</w:t>
      </w:r>
      <w:r w:rsidRPr="003876FB">
        <w:rPr>
          <w:rFonts w:cs="Arial"/>
        </w:rPr>
        <w:t>) Voluntary Wheel Running Reduces Colon Inflammation in Female but not Male Mice Fed a High-fat Diet. Comparative Exercise Physiology.</w:t>
      </w:r>
      <w:r>
        <w:rPr>
          <w:rFonts w:cs="Arial"/>
        </w:rPr>
        <w:t xml:space="preserve"> 15(1):35-47</w:t>
      </w:r>
      <w:r w:rsidR="00E3288E">
        <w:rPr>
          <w:rFonts w:cs="Arial"/>
        </w:rPr>
        <w:t>.</w:t>
      </w:r>
      <w:r w:rsidR="00117D19">
        <w:rPr>
          <w:rFonts w:cs="Arial"/>
        </w:rPr>
        <w:t xml:space="preserve"> </w:t>
      </w:r>
      <w:r w:rsidR="00117D19" w:rsidRPr="00117D19">
        <w:rPr>
          <w:rFonts w:cs="Arial"/>
        </w:rPr>
        <w:t>DOI: 10.3920/cep180032</w:t>
      </w:r>
    </w:p>
    <w:p w14:paraId="2007B8B1" w14:textId="77777777" w:rsidR="002E0445" w:rsidRPr="003876FB" w:rsidRDefault="002E0445" w:rsidP="002E0445">
      <w:pPr>
        <w:ind w:left="-90"/>
        <w:rPr>
          <w:rFonts w:cs="Arial"/>
        </w:rPr>
      </w:pPr>
    </w:p>
    <w:p w14:paraId="63451E5D" w14:textId="77777777" w:rsidR="002E0445" w:rsidRPr="003876FB" w:rsidRDefault="002E0445" w:rsidP="00315B26">
      <w:pPr>
        <w:rPr>
          <w:rFonts w:cs="Arial"/>
        </w:rPr>
      </w:pPr>
      <w:r w:rsidRPr="003876FB">
        <w:rPr>
          <w:rFonts w:cs="Arial"/>
          <w:b/>
        </w:rPr>
        <w:t>2. Bacterial communities in the small intestine respond differently to those in the cecum and colon in mice fed low and high fat diets.</w:t>
      </w:r>
      <w:r w:rsidRPr="003876FB">
        <w:rPr>
          <w:rFonts w:cs="Arial"/>
        </w:rPr>
        <w:t xml:space="preserve"> </w:t>
      </w:r>
    </w:p>
    <w:p w14:paraId="6DAABB3C" w14:textId="6A033511" w:rsidR="002E0445" w:rsidRPr="003876FB" w:rsidRDefault="002E0445" w:rsidP="00315B26">
      <w:pPr>
        <w:rPr>
          <w:rFonts w:cs="Arial"/>
        </w:rPr>
      </w:pPr>
      <w:r w:rsidRPr="003876FB">
        <w:rPr>
          <w:rFonts w:cs="Arial"/>
        </w:rPr>
        <w:t xml:space="preserve">Intellectual merit: We used 16S rRNA gene sequencing to compare microbiota in the small intestine, cecum and colon in mice fed a low or high fat diet. The relative abundance of major phyla in the small intestine, </w:t>
      </w:r>
      <w:proofErr w:type="spellStart"/>
      <w:r w:rsidRPr="003876FB">
        <w:rPr>
          <w:rFonts w:cs="Arial"/>
        </w:rPr>
        <w:t>Bacteriodetes</w:t>
      </w:r>
      <w:proofErr w:type="spellEnd"/>
      <w:r w:rsidRPr="003876FB">
        <w:rPr>
          <w:rFonts w:cs="Arial"/>
        </w:rPr>
        <w:t xml:space="preserve">, Firmicutes, and Proteobacteria, was </w:t>
      </w:r>
      <w:r w:rsidR="008853FF" w:rsidRPr="003876FB">
        <w:rPr>
          <w:rFonts w:cs="Arial"/>
        </w:rPr>
        <w:t>like</w:t>
      </w:r>
      <w:r w:rsidRPr="003876FB">
        <w:rPr>
          <w:rFonts w:cs="Arial"/>
        </w:rPr>
        <w:t xml:space="preserve"> that in the cecum and colon; the relative abundance of </w:t>
      </w:r>
      <w:proofErr w:type="spellStart"/>
      <w:r w:rsidRPr="003876FB">
        <w:rPr>
          <w:rFonts w:cs="Arial"/>
        </w:rPr>
        <w:t>Verrucomicrobia</w:t>
      </w:r>
      <w:proofErr w:type="spellEnd"/>
      <w:r w:rsidRPr="003876FB">
        <w:rPr>
          <w:rFonts w:cs="Arial"/>
        </w:rPr>
        <w:t xml:space="preserve"> was significantly reduced in the small intestine compared to the large intestine. Several genera were uniquely detected in the small intestine and included the aerotolerant anaerobe, Lactobacillus spp. A high fat diet was associated with significant weight gain and adiposity and with changes in the bacterial communities throughout the intestine, prominent </w:t>
      </w:r>
      <w:r w:rsidR="008853FF" w:rsidRPr="003876FB">
        <w:rPr>
          <w:rFonts w:cs="Arial"/>
        </w:rPr>
        <w:t>Gram-negative</w:t>
      </w:r>
      <w:r w:rsidRPr="003876FB">
        <w:rPr>
          <w:rFonts w:cs="Arial"/>
        </w:rPr>
        <w:t xml:space="preserve"> bacteria including genera of the Bacteroidetes and a genus of Proteobacteria significantly changed in the large intestine. </w:t>
      </w:r>
    </w:p>
    <w:p w14:paraId="49DDEAC0" w14:textId="77777777" w:rsidR="002E0445" w:rsidRPr="003876FB" w:rsidRDefault="002E0445" w:rsidP="002E0445">
      <w:pPr>
        <w:ind w:left="-90"/>
        <w:rPr>
          <w:rFonts w:cs="Arial"/>
        </w:rPr>
      </w:pPr>
    </w:p>
    <w:p w14:paraId="6183AEA0" w14:textId="6448B2BF" w:rsidR="002E0445" w:rsidRPr="003876FB" w:rsidRDefault="002E0445" w:rsidP="002E0445">
      <w:pPr>
        <w:numPr>
          <w:ilvl w:val="0"/>
          <w:numId w:val="20"/>
        </w:numPr>
        <w:autoSpaceDE/>
        <w:autoSpaceDN/>
        <w:rPr>
          <w:rFonts w:cs="Arial"/>
        </w:rPr>
      </w:pPr>
      <w:proofErr w:type="spellStart"/>
      <w:r w:rsidRPr="003876FB">
        <w:rPr>
          <w:rFonts w:cs="Arial"/>
        </w:rPr>
        <w:t>Onishi</w:t>
      </w:r>
      <w:proofErr w:type="spellEnd"/>
      <w:r w:rsidRPr="003876FB">
        <w:rPr>
          <w:rFonts w:cs="Arial"/>
        </w:rPr>
        <w:t xml:space="preserve">, J., </w:t>
      </w:r>
      <w:r w:rsidRPr="003876FB">
        <w:rPr>
          <w:rFonts w:cs="Arial"/>
          <w:b/>
        </w:rPr>
        <w:t>Campbell, S.C</w:t>
      </w:r>
      <w:r w:rsidRPr="003876FB">
        <w:rPr>
          <w:rFonts w:cs="Arial"/>
        </w:rPr>
        <w:t xml:space="preserve">., Moreau, M., </w:t>
      </w:r>
      <w:proofErr w:type="spellStart"/>
      <w:r w:rsidRPr="003876FB">
        <w:rPr>
          <w:rFonts w:cs="Arial"/>
        </w:rPr>
        <w:t>Flashruit</w:t>
      </w:r>
      <w:proofErr w:type="spellEnd"/>
      <w:r w:rsidRPr="003876FB">
        <w:rPr>
          <w:rFonts w:cs="Arial"/>
        </w:rPr>
        <w:t xml:space="preserve">, P., Brooks, A., Zhao, X.Y., </w:t>
      </w:r>
      <w:proofErr w:type="spellStart"/>
      <w:r w:rsidRPr="003876FB">
        <w:rPr>
          <w:rFonts w:cs="Arial"/>
        </w:rPr>
        <w:t>Häggblom</w:t>
      </w:r>
      <w:proofErr w:type="spellEnd"/>
      <w:r w:rsidRPr="003876FB">
        <w:rPr>
          <w:rFonts w:cs="Arial"/>
        </w:rPr>
        <w:t xml:space="preserve">, MM, Storch, J., (2017). Weight gain in the mouse diet induced obesity model is not dependent on shifts in the gut microbiome involving endotoxin-producing </w:t>
      </w:r>
      <w:r w:rsidR="008853FF" w:rsidRPr="003876FB">
        <w:rPr>
          <w:rFonts w:cs="Arial"/>
        </w:rPr>
        <w:t>Gram-negative</w:t>
      </w:r>
      <w:r w:rsidRPr="003876FB">
        <w:rPr>
          <w:rFonts w:cs="Arial"/>
        </w:rPr>
        <w:t xml:space="preserve"> bacteria. Microbiology. Aug;163(8):1189-1197. </w:t>
      </w:r>
      <w:r w:rsidR="00117D19" w:rsidRPr="00117D19">
        <w:t xml:space="preserve"> </w:t>
      </w:r>
      <w:r w:rsidR="00117D19" w:rsidRPr="00117D19">
        <w:rPr>
          <w:rFonts w:cs="Arial"/>
        </w:rPr>
        <w:t>PMCID: PMC5775896</w:t>
      </w:r>
      <w:r w:rsidRPr="003876FB">
        <w:rPr>
          <w:rFonts w:cs="Arial"/>
        </w:rPr>
        <w:t>.</w:t>
      </w:r>
    </w:p>
    <w:p w14:paraId="13CF1907" w14:textId="77777777" w:rsidR="002E0445" w:rsidRPr="003876FB" w:rsidRDefault="002E0445" w:rsidP="002E0445">
      <w:pPr>
        <w:ind w:left="-90"/>
        <w:rPr>
          <w:rFonts w:cs="Arial"/>
          <w:i/>
        </w:rPr>
      </w:pPr>
    </w:p>
    <w:p w14:paraId="0AFFE069" w14:textId="77777777" w:rsidR="002E0445" w:rsidRPr="003876FB" w:rsidRDefault="002E0445" w:rsidP="00315B26">
      <w:pPr>
        <w:rPr>
          <w:rFonts w:cs="Arial"/>
          <w:b/>
        </w:rPr>
      </w:pPr>
      <w:r w:rsidRPr="003876FB">
        <w:rPr>
          <w:rFonts w:cs="Arial"/>
          <w:b/>
        </w:rPr>
        <w:t xml:space="preserve">3. </w:t>
      </w:r>
      <w:r>
        <w:rPr>
          <w:rFonts w:cs="Arial"/>
          <w:b/>
        </w:rPr>
        <w:t>Adenylyl cyclase 5 knock out mice have enhanced exercise tolerance which is supported by a unique microbiota and metabolic profile.</w:t>
      </w:r>
    </w:p>
    <w:p w14:paraId="1550DED5" w14:textId="23A71D3F" w:rsidR="002E0445" w:rsidRDefault="008853FF" w:rsidP="00315B26">
      <w:pPr>
        <w:jc w:val="both"/>
        <w:rPr>
          <w:rFonts w:cs="Arial"/>
          <w:color w:val="000000"/>
        </w:rPr>
      </w:pPr>
      <w:r>
        <w:rPr>
          <w:rFonts w:cs="Arial"/>
        </w:rPr>
        <w:t xml:space="preserve">Intellectual merit: </w:t>
      </w:r>
      <w:r w:rsidR="002E0445">
        <w:rPr>
          <w:rFonts w:cs="Arial"/>
        </w:rPr>
        <w:t xml:space="preserve">AC5 mice </w:t>
      </w:r>
      <w:r w:rsidR="002E0445" w:rsidRPr="00510EE4">
        <w:rPr>
          <w:rFonts w:cs="Arial"/>
          <w:color w:val="000000"/>
        </w:rPr>
        <w:t>AC5KO mice display enhanced lifespan, protection against obesity/type 2 diabetes, improved antioxidant defenses, and enhanced exercise capacity. Since the AC5KO mouse model demonstrates several unique features associated with improved health and longevity</w:t>
      </w:r>
      <w:r w:rsidR="002E0445">
        <w:rPr>
          <w:rFonts w:cs="Arial"/>
          <w:color w:val="000000"/>
        </w:rPr>
        <w:t xml:space="preserve"> it is not surprising that these mice have a unique microbiota, that when abolished removes the enhanced exercise capacity suggesting adaptations are unable to occur without a microbiota.</w:t>
      </w:r>
    </w:p>
    <w:p w14:paraId="5A815E2E" w14:textId="77777777" w:rsidR="002E0445" w:rsidRPr="003876FB" w:rsidRDefault="002E0445" w:rsidP="002E0445">
      <w:pPr>
        <w:ind w:left="-90"/>
        <w:jc w:val="both"/>
        <w:rPr>
          <w:rFonts w:cs="Arial"/>
        </w:rPr>
      </w:pPr>
    </w:p>
    <w:p w14:paraId="3006EB85" w14:textId="569A9A11" w:rsidR="002E0445" w:rsidRDefault="002E0445" w:rsidP="002E0445">
      <w:pPr>
        <w:numPr>
          <w:ilvl w:val="0"/>
          <w:numId w:val="21"/>
        </w:numPr>
        <w:autoSpaceDE/>
        <w:autoSpaceDN/>
        <w:rPr>
          <w:rFonts w:cs="Arial"/>
          <w:bCs/>
        </w:rPr>
      </w:pPr>
      <w:proofErr w:type="spellStart"/>
      <w:r w:rsidRPr="00510EE4">
        <w:rPr>
          <w:rFonts w:cs="Arial"/>
          <w:bCs/>
        </w:rPr>
        <w:t>Guers</w:t>
      </w:r>
      <w:proofErr w:type="spellEnd"/>
      <w:r>
        <w:rPr>
          <w:rFonts w:cs="Arial"/>
          <w:bCs/>
        </w:rPr>
        <w:t>,</w:t>
      </w:r>
      <w:r w:rsidRPr="00510EE4">
        <w:rPr>
          <w:rFonts w:cs="Arial"/>
          <w:bCs/>
        </w:rPr>
        <w:t xml:space="preserve"> J</w:t>
      </w:r>
      <w:r>
        <w:rPr>
          <w:rFonts w:cs="Arial"/>
          <w:bCs/>
        </w:rPr>
        <w:t>.</w:t>
      </w:r>
      <w:r w:rsidRPr="00510EE4">
        <w:rPr>
          <w:rFonts w:cs="Arial"/>
          <w:bCs/>
        </w:rPr>
        <w:t>J</w:t>
      </w:r>
      <w:r>
        <w:rPr>
          <w:rFonts w:cs="Arial"/>
          <w:bCs/>
        </w:rPr>
        <w:t>.</w:t>
      </w:r>
      <w:r w:rsidRPr="00510EE4">
        <w:rPr>
          <w:rFonts w:cs="Arial"/>
          <w:bCs/>
        </w:rPr>
        <w:t>, Zhang</w:t>
      </w:r>
      <w:r>
        <w:rPr>
          <w:rFonts w:cs="Arial"/>
          <w:bCs/>
        </w:rPr>
        <w:t>,</w:t>
      </w:r>
      <w:r w:rsidRPr="00510EE4">
        <w:rPr>
          <w:rFonts w:cs="Arial"/>
          <w:bCs/>
        </w:rPr>
        <w:t xml:space="preserve"> J</w:t>
      </w:r>
      <w:r>
        <w:rPr>
          <w:rFonts w:cs="Arial"/>
          <w:bCs/>
        </w:rPr>
        <w:t>.</w:t>
      </w:r>
      <w:r w:rsidRPr="00510EE4">
        <w:rPr>
          <w:rFonts w:cs="Arial"/>
          <w:bCs/>
        </w:rPr>
        <w:t xml:space="preserve">, </w:t>
      </w:r>
      <w:r w:rsidRPr="00577C2F">
        <w:rPr>
          <w:rFonts w:cs="Arial"/>
          <w:b/>
        </w:rPr>
        <w:t>Campbell, S.C</w:t>
      </w:r>
      <w:r>
        <w:rPr>
          <w:rFonts w:cs="Arial"/>
          <w:bCs/>
        </w:rPr>
        <w:t>.</w:t>
      </w:r>
      <w:r w:rsidRPr="00510EE4">
        <w:rPr>
          <w:rFonts w:cs="Arial"/>
          <w:bCs/>
        </w:rPr>
        <w:t xml:space="preserve">, </w:t>
      </w:r>
      <w:proofErr w:type="spellStart"/>
      <w:r w:rsidRPr="00510EE4">
        <w:rPr>
          <w:rFonts w:cs="Arial"/>
          <w:bCs/>
        </w:rPr>
        <w:t>Oydanich</w:t>
      </w:r>
      <w:proofErr w:type="spellEnd"/>
      <w:r>
        <w:rPr>
          <w:rFonts w:cs="Arial"/>
          <w:bCs/>
        </w:rPr>
        <w:t>,</w:t>
      </w:r>
      <w:r w:rsidRPr="00510EE4">
        <w:rPr>
          <w:rFonts w:cs="Arial"/>
          <w:bCs/>
        </w:rPr>
        <w:t xml:space="preserve"> M</w:t>
      </w:r>
      <w:r>
        <w:rPr>
          <w:rFonts w:cs="Arial"/>
          <w:bCs/>
        </w:rPr>
        <w:t>.</w:t>
      </w:r>
      <w:r w:rsidRPr="00510EE4">
        <w:rPr>
          <w:rFonts w:cs="Arial"/>
          <w:bCs/>
        </w:rPr>
        <w:t xml:space="preserve">, </w:t>
      </w:r>
      <w:proofErr w:type="spellStart"/>
      <w:r w:rsidRPr="00510EE4">
        <w:rPr>
          <w:rFonts w:cs="Arial"/>
          <w:bCs/>
        </w:rPr>
        <w:t>Vatner</w:t>
      </w:r>
      <w:proofErr w:type="spellEnd"/>
      <w:r>
        <w:rPr>
          <w:rFonts w:cs="Arial"/>
          <w:bCs/>
        </w:rPr>
        <w:t>,</w:t>
      </w:r>
      <w:r w:rsidRPr="00510EE4">
        <w:rPr>
          <w:rFonts w:cs="Arial"/>
          <w:bCs/>
        </w:rPr>
        <w:t xml:space="preserve"> D</w:t>
      </w:r>
      <w:r>
        <w:rPr>
          <w:rFonts w:cs="Arial"/>
          <w:bCs/>
        </w:rPr>
        <w:t>.</w:t>
      </w:r>
      <w:r w:rsidRPr="00510EE4">
        <w:rPr>
          <w:rFonts w:cs="Arial"/>
          <w:bCs/>
        </w:rPr>
        <w:t>E</w:t>
      </w:r>
      <w:r>
        <w:rPr>
          <w:rFonts w:cs="Arial"/>
          <w:bCs/>
        </w:rPr>
        <w:t>.,</w:t>
      </w:r>
      <w:r w:rsidRPr="00510EE4">
        <w:rPr>
          <w:rFonts w:cs="Arial"/>
          <w:bCs/>
        </w:rPr>
        <w:t xml:space="preserve"> </w:t>
      </w:r>
      <w:proofErr w:type="spellStart"/>
      <w:r w:rsidRPr="00510EE4">
        <w:rPr>
          <w:rFonts w:cs="Arial"/>
          <w:bCs/>
        </w:rPr>
        <w:t>Vatner</w:t>
      </w:r>
      <w:proofErr w:type="spellEnd"/>
      <w:r>
        <w:rPr>
          <w:rFonts w:cs="Arial"/>
          <w:bCs/>
        </w:rPr>
        <w:t>,</w:t>
      </w:r>
      <w:r w:rsidRPr="00510EE4">
        <w:rPr>
          <w:rFonts w:cs="Arial"/>
          <w:bCs/>
        </w:rPr>
        <w:t xml:space="preserve"> S</w:t>
      </w:r>
      <w:r>
        <w:rPr>
          <w:rFonts w:cs="Arial"/>
          <w:bCs/>
        </w:rPr>
        <w:t>.</w:t>
      </w:r>
      <w:r w:rsidRPr="00510EE4">
        <w:rPr>
          <w:rFonts w:cs="Arial"/>
          <w:bCs/>
        </w:rPr>
        <w:t>F.</w:t>
      </w:r>
      <w:r>
        <w:rPr>
          <w:rFonts w:cs="Arial"/>
          <w:bCs/>
        </w:rPr>
        <w:t xml:space="preserve"> (2017). </w:t>
      </w:r>
      <w:r w:rsidRPr="00577C2F">
        <w:rPr>
          <w:rFonts w:cs="Arial"/>
          <w:bCs/>
        </w:rPr>
        <w:t>Disruption of adenylyl cyclase type 5 mimics exercise training.</w:t>
      </w:r>
      <w:r>
        <w:rPr>
          <w:rFonts w:cs="Arial"/>
          <w:bCs/>
        </w:rPr>
        <w:t xml:space="preserve"> </w:t>
      </w:r>
      <w:r w:rsidRPr="00577C2F">
        <w:rPr>
          <w:rFonts w:cs="Arial"/>
          <w:bCs/>
        </w:rPr>
        <w:t xml:space="preserve">Basic Res </w:t>
      </w:r>
      <w:proofErr w:type="spellStart"/>
      <w:r w:rsidRPr="00577C2F">
        <w:rPr>
          <w:rFonts w:cs="Arial"/>
          <w:bCs/>
        </w:rPr>
        <w:t>Cardiol</w:t>
      </w:r>
      <w:proofErr w:type="spellEnd"/>
      <w:r w:rsidRPr="00577C2F">
        <w:rPr>
          <w:rFonts w:cs="Arial"/>
          <w:bCs/>
        </w:rPr>
        <w:t>. Sep 8;112(6):59.</w:t>
      </w:r>
      <w:r w:rsidR="002B16B4">
        <w:rPr>
          <w:rFonts w:cs="Arial"/>
          <w:bCs/>
        </w:rPr>
        <w:t xml:space="preserve"> </w:t>
      </w:r>
      <w:r w:rsidR="002B16B4" w:rsidRPr="002B16B4">
        <w:rPr>
          <w:rFonts w:cs="Arial"/>
          <w:bCs/>
        </w:rPr>
        <w:t>PMCID: PMC5833297</w:t>
      </w:r>
    </w:p>
    <w:p w14:paraId="77C19069" w14:textId="68DFFA16" w:rsidR="002E0445" w:rsidRPr="00577C2F" w:rsidRDefault="002E0445" w:rsidP="002E0445">
      <w:pPr>
        <w:numPr>
          <w:ilvl w:val="0"/>
          <w:numId w:val="21"/>
        </w:numPr>
        <w:autoSpaceDE/>
        <w:autoSpaceDN/>
        <w:rPr>
          <w:rFonts w:cs="Arial"/>
        </w:rPr>
      </w:pPr>
      <w:r w:rsidRPr="00577C2F">
        <w:rPr>
          <w:rFonts w:cs="Arial"/>
        </w:rPr>
        <w:lastRenderedPageBreak/>
        <w:t>Dowden</w:t>
      </w:r>
      <w:r>
        <w:rPr>
          <w:rFonts w:cs="Arial"/>
        </w:rPr>
        <w:t>, R.A</w:t>
      </w:r>
      <w:r w:rsidRPr="00577C2F">
        <w:rPr>
          <w:rFonts w:cs="Arial"/>
        </w:rPr>
        <w:t>, McGuinness</w:t>
      </w:r>
      <w:r>
        <w:rPr>
          <w:rFonts w:cs="Arial"/>
        </w:rPr>
        <w:t>, L.R.</w:t>
      </w:r>
      <w:r w:rsidRPr="00577C2F">
        <w:rPr>
          <w:rFonts w:cs="Arial"/>
        </w:rPr>
        <w:t>, Wisniewski</w:t>
      </w:r>
      <w:r>
        <w:rPr>
          <w:rFonts w:cs="Arial"/>
        </w:rPr>
        <w:t>, P.J.</w:t>
      </w:r>
      <w:r w:rsidRPr="00577C2F">
        <w:rPr>
          <w:rFonts w:cs="Arial"/>
        </w:rPr>
        <w:t xml:space="preserve">, </w:t>
      </w:r>
      <w:r w:rsidRPr="00577C2F">
        <w:rPr>
          <w:rFonts w:cs="Arial"/>
          <w:b/>
          <w:bCs/>
        </w:rPr>
        <w:t>Campbell, S.C.</w:t>
      </w:r>
      <w:r w:rsidRPr="00577C2F">
        <w:rPr>
          <w:rFonts w:cs="Arial"/>
        </w:rPr>
        <w:t xml:space="preserve">, </w:t>
      </w:r>
      <w:proofErr w:type="spellStart"/>
      <w:r w:rsidRPr="00577C2F">
        <w:rPr>
          <w:rFonts w:cs="Arial"/>
        </w:rPr>
        <w:t>Guer</w:t>
      </w:r>
      <w:r>
        <w:rPr>
          <w:rFonts w:cs="Arial"/>
        </w:rPr>
        <w:t>s</w:t>
      </w:r>
      <w:proofErr w:type="spellEnd"/>
      <w:r>
        <w:rPr>
          <w:rFonts w:cs="Arial"/>
        </w:rPr>
        <w:t>, J.J.</w:t>
      </w:r>
      <w:r w:rsidRPr="00577C2F">
        <w:rPr>
          <w:rFonts w:cs="Arial"/>
        </w:rPr>
        <w:t xml:space="preserve">, </w:t>
      </w:r>
      <w:proofErr w:type="spellStart"/>
      <w:r w:rsidRPr="00577C2F">
        <w:rPr>
          <w:rFonts w:cs="Arial"/>
        </w:rPr>
        <w:t>Oydanich</w:t>
      </w:r>
      <w:proofErr w:type="spellEnd"/>
      <w:r>
        <w:rPr>
          <w:rFonts w:cs="Arial"/>
        </w:rPr>
        <w:t>, M.</w:t>
      </w:r>
      <w:r w:rsidRPr="00577C2F">
        <w:rPr>
          <w:rFonts w:cs="Arial"/>
        </w:rPr>
        <w:t xml:space="preserve">, </w:t>
      </w:r>
      <w:proofErr w:type="spellStart"/>
      <w:r w:rsidRPr="00577C2F">
        <w:rPr>
          <w:rFonts w:cs="Arial"/>
        </w:rPr>
        <w:t>Vatner</w:t>
      </w:r>
      <w:proofErr w:type="spellEnd"/>
      <w:r>
        <w:rPr>
          <w:rFonts w:cs="Arial"/>
        </w:rPr>
        <w:t>, S.F.</w:t>
      </w:r>
      <w:r w:rsidRPr="00577C2F">
        <w:rPr>
          <w:rFonts w:cs="Arial"/>
        </w:rPr>
        <w:t xml:space="preserve">, </w:t>
      </w:r>
      <w:proofErr w:type="spellStart"/>
      <w:r w:rsidRPr="00577C2F">
        <w:rPr>
          <w:rFonts w:cs="Arial"/>
        </w:rPr>
        <w:t>Häggblom</w:t>
      </w:r>
      <w:proofErr w:type="spellEnd"/>
      <w:r>
        <w:rPr>
          <w:rFonts w:cs="Arial"/>
        </w:rPr>
        <w:t>, M.M.</w:t>
      </w:r>
      <w:r w:rsidRPr="00577C2F">
        <w:rPr>
          <w:rFonts w:cs="Arial"/>
        </w:rPr>
        <w:t>, Kerkhof</w:t>
      </w:r>
      <w:r>
        <w:rPr>
          <w:rFonts w:cs="Arial"/>
        </w:rPr>
        <w:t>, L.J. (20</w:t>
      </w:r>
      <w:r w:rsidR="00BA281A">
        <w:rPr>
          <w:rFonts w:cs="Arial"/>
        </w:rPr>
        <w:t>20</w:t>
      </w:r>
      <w:r>
        <w:rPr>
          <w:rFonts w:cs="Arial"/>
        </w:rPr>
        <w:t xml:space="preserve">). </w:t>
      </w:r>
      <w:r w:rsidRPr="00577C2F">
        <w:rPr>
          <w:rFonts w:cs="Arial"/>
        </w:rPr>
        <w:t>Host genotype and exercise exhibit species-level selection for members of the gut bacterial communities in the mouse digestive system</w:t>
      </w:r>
      <w:r>
        <w:rPr>
          <w:rFonts w:cs="Arial"/>
        </w:rPr>
        <w:t xml:space="preserve">. </w:t>
      </w:r>
      <w:r w:rsidR="00BA281A">
        <w:rPr>
          <w:rFonts w:cs="Arial"/>
        </w:rPr>
        <w:t>Nature Scientific Reports.</w:t>
      </w:r>
      <w:r w:rsidR="00BA281A" w:rsidRPr="00BA281A">
        <w:rPr>
          <w:rFonts w:cs="Arial"/>
        </w:rPr>
        <w:t>10:8984</w:t>
      </w:r>
      <w:r w:rsidR="002B16B4">
        <w:rPr>
          <w:rFonts w:cs="Arial"/>
        </w:rPr>
        <w:t>.</w:t>
      </w:r>
      <w:r w:rsidR="00BA281A">
        <w:rPr>
          <w:rFonts w:cs="Arial"/>
        </w:rPr>
        <w:t xml:space="preserve"> </w:t>
      </w:r>
      <w:r w:rsidR="002B16B4" w:rsidRPr="002B16B4">
        <w:rPr>
          <w:rFonts w:cs="Arial"/>
        </w:rPr>
        <w:t>PMCID: PMC7265280</w:t>
      </w:r>
      <w:r w:rsidR="002B16B4">
        <w:rPr>
          <w:rFonts w:cs="Arial"/>
        </w:rPr>
        <w:t>.</w:t>
      </w:r>
    </w:p>
    <w:p w14:paraId="459FC5DA" w14:textId="7285A4E9" w:rsidR="002E0445" w:rsidRPr="00624774" w:rsidRDefault="002E0445" w:rsidP="002E0445">
      <w:pPr>
        <w:numPr>
          <w:ilvl w:val="0"/>
          <w:numId w:val="21"/>
        </w:numPr>
        <w:autoSpaceDE/>
        <w:autoSpaceDN/>
        <w:rPr>
          <w:rFonts w:cs="Arial"/>
        </w:rPr>
      </w:pPr>
      <w:r w:rsidRPr="00577C2F">
        <w:rPr>
          <w:rFonts w:cs="Arial"/>
        </w:rPr>
        <w:t>Dowden</w:t>
      </w:r>
      <w:r>
        <w:rPr>
          <w:rFonts w:cs="Arial"/>
        </w:rPr>
        <w:t>, R.A</w:t>
      </w:r>
      <w:r w:rsidRPr="00577C2F">
        <w:rPr>
          <w:rFonts w:cs="Arial"/>
        </w:rPr>
        <w:t>, McGuinness</w:t>
      </w:r>
      <w:r>
        <w:rPr>
          <w:rFonts w:cs="Arial"/>
        </w:rPr>
        <w:t>, L.R.</w:t>
      </w:r>
      <w:r w:rsidRPr="00577C2F">
        <w:rPr>
          <w:rFonts w:cs="Arial"/>
        </w:rPr>
        <w:t>, Wisniewski</w:t>
      </w:r>
      <w:r>
        <w:rPr>
          <w:rFonts w:cs="Arial"/>
        </w:rPr>
        <w:t>, P.J.</w:t>
      </w:r>
      <w:r w:rsidRPr="00577C2F">
        <w:rPr>
          <w:rFonts w:cs="Arial"/>
        </w:rPr>
        <w:t xml:space="preserve">, </w:t>
      </w:r>
      <w:proofErr w:type="spellStart"/>
      <w:r w:rsidRPr="00577C2F">
        <w:rPr>
          <w:rFonts w:cs="Arial"/>
        </w:rPr>
        <w:t>Guer</w:t>
      </w:r>
      <w:r>
        <w:rPr>
          <w:rFonts w:cs="Arial"/>
        </w:rPr>
        <w:t>s</w:t>
      </w:r>
      <w:proofErr w:type="spellEnd"/>
      <w:r>
        <w:rPr>
          <w:rFonts w:cs="Arial"/>
        </w:rPr>
        <w:t>, J.J.</w:t>
      </w:r>
      <w:r w:rsidRPr="00577C2F">
        <w:rPr>
          <w:rFonts w:cs="Arial"/>
        </w:rPr>
        <w:t xml:space="preserve">, </w:t>
      </w:r>
      <w:proofErr w:type="spellStart"/>
      <w:r w:rsidRPr="00577C2F">
        <w:rPr>
          <w:rFonts w:cs="Arial"/>
        </w:rPr>
        <w:t>Oydanich</w:t>
      </w:r>
      <w:proofErr w:type="spellEnd"/>
      <w:r>
        <w:rPr>
          <w:rFonts w:cs="Arial"/>
        </w:rPr>
        <w:t>, M.</w:t>
      </w:r>
      <w:r w:rsidRPr="00577C2F">
        <w:rPr>
          <w:rFonts w:cs="Arial"/>
        </w:rPr>
        <w:t xml:space="preserve">, </w:t>
      </w:r>
      <w:proofErr w:type="spellStart"/>
      <w:r w:rsidRPr="00577C2F">
        <w:rPr>
          <w:rFonts w:cs="Arial"/>
        </w:rPr>
        <w:t>Vatner</w:t>
      </w:r>
      <w:proofErr w:type="spellEnd"/>
      <w:r>
        <w:rPr>
          <w:rFonts w:cs="Arial"/>
        </w:rPr>
        <w:t>, S.F.</w:t>
      </w:r>
      <w:r w:rsidRPr="00577C2F">
        <w:rPr>
          <w:rFonts w:cs="Arial"/>
        </w:rPr>
        <w:t xml:space="preserve">, </w:t>
      </w:r>
      <w:r w:rsidRPr="009F6864">
        <w:rPr>
          <w:rFonts w:cs="Arial"/>
          <w:b/>
          <w:bCs/>
        </w:rPr>
        <w:t>Campbell, S.C.</w:t>
      </w:r>
      <w:r>
        <w:rPr>
          <w:rFonts w:cs="Arial"/>
        </w:rPr>
        <w:t xml:space="preserve"> (20</w:t>
      </w:r>
      <w:r w:rsidR="00BA281A">
        <w:rPr>
          <w:rFonts w:cs="Arial"/>
        </w:rPr>
        <w:t>20</w:t>
      </w:r>
      <w:r>
        <w:rPr>
          <w:rFonts w:cs="Arial"/>
        </w:rPr>
        <w:t xml:space="preserve">). </w:t>
      </w:r>
      <w:r w:rsidRPr="00577C2F">
        <w:rPr>
          <w:rFonts w:cs="Arial"/>
        </w:rPr>
        <w:t xml:space="preserve">Gut </w:t>
      </w:r>
      <w:proofErr w:type="gramStart"/>
      <w:r w:rsidRPr="00577C2F">
        <w:rPr>
          <w:rFonts w:cs="Arial"/>
        </w:rPr>
        <w:t>microbiota</w:t>
      </w:r>
      <w:proofErr w:type="gramEnd"/>
      <w:r w:rsidRPr="00577C2F">
        <w:rPr>
          <w:rFonts w:cs="Arial"/>
        </w:rPr>
        <w:t xml:space="preserve"> contribute to exercise capacity and metabolic profile in a wildtype and longevity model mouse</w:t>
      </w:r>
      <w:r>
        <w:rPr>
          <w:rFonts w:cs="Arial"/>
        </w:rPr>
        <w:t>. Med Sci Sport Ex. In Review.</w:t>
      </w:r>
    </w:p>
    <w:p w14:paraId="2E827232" w14:textId="700440C0" w:rsidR="00FC5F9E" w:rsidRPr="00E95EE8" w:rsidRDefault="00FC5F9E" w:rsidP="002C51BC"/>
    <w:p w14:paraId="39C490E4" w14:textId="30CBBC9E" w:rsidR="00721457" w:rsidRPr="00E03323" w:rsidRDefault="00721457" w:rsidP="00721457">
      <w:pPr>
        <w:pStyle w:val="DataField11pt-Single"/>
        <w:rPr>
          <w:rStyle w:val="Strong"/>
          <w:b w:val="0"/>
        </w:rPr>
      </w:pPr>
    </w:p>
    <w:sectPr w:rsidR="00721457" w:rsidRPr="00E0332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B662" w14:textId="77777777" w:rsidR="000D17BE" w:rsidRDefault="000D17BE">
      <w:r>
        <w:separator/>
      </w:r>
    </w:p>
  </w:endnote>
  <w:endnote w:type="continuationSeparator" w:id="0">
    <w:p w14:paraId="4287B874" w14:textId="77777777" w:rsidR="000D17BE" w:rsidRDefault="000D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48C9" w14:textId="77777777" w:rsidR="000D17BE" w:rsidRDefault="000D17BE">
      <w:r>
        <w:separator/>
      </w:r>
    </w:p>
  </w:footnote>
  <w:footnote w:type="continuationSeparator" w:id="0">
    <w:p w14:paraId="66E972D9" w14:textId="77777777" w:rsidR="000D17BE" w:rsidRDefault="000D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B5641E7"/>
    <w:multiLevelType w:val="hybridMultilevel"/>
    <w:tmpl w:val="02AE0F36"/>
    <w:lvl w:ilvl="0" w:tplc="67BAAEA8">
      <w:start w:val="1"/>
      <w:numFmt w:val="decimal"/>
      <w:lvlText w:val="%1."/>
      <w:lvlJc w:val="left"/>
      <w:pPr>
        <w:ind w:left="27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DE27763"/>
    <w:multiLevelType w:val="hybridMultilevel"/>
    <w:tmpl w:val="11A09204"/>
    <w:lvl w:ilvl="0" w:tplc="55A05B0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7C5DF6"/>
    <w:multiLevelType w:val="hybridMultilevel"/>
    <w:tmpl w:val="6F92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219369077">
    <w:abstractNumId w:val="9"/>
  </w:num>
  <w:num w:numId="2" w16cid:durableId="943730972">
    <w:abstractNumId w:val="7"/>
  </w:num>
  <w:num w:numId="3" w16cid:durableId="719210132">
    <w:abstractNumId w:val="6"/>
  </w:num>
  <w:num w:numId="4" w16cid:durableId="2094012669">
    <w:abstractNumId w:val="5"/>
  </w:num>
  <w:num w:numId="5" w16cid:durableId="1530559683">
    <w:abstractNumId w:val="4"/>
  </w:num>
  <w:num w:numId="6" w16cid:durableId="1355765147">
    <w:abstractNumId w:val="8"/>
  </w:num>
  <w:num w:numId="7" w16cid:durableId="928584027">
    <w:abstractNumId w:val="3"/>
  </w:num>
  <w:num w:numId="8" w16cid:durableId="1815902334">
    <w:abstractNumId w:val="2"/>
  </w:num>
  <w:num w:numId="9" w16cid:durableId="1038436650">
    <w:abstractNumId w:val="1"/>
  </w:num>
  <w:num w:numId="10" w16cid:durableId="1381978656">
    <w:abstractNumId w:val="0"/>
  </w:num>
  <w:num w:numId="11" w16cid:durableId="1212772068">
    <w:abstractNumId w:val="0"/>
  </w:num>
  <w:num w:numId="12" w16cid:durableId="796608229">
    <w:abstractNumId w:val="16"/>
  </w:num>
  <w:num w:numId="13" w16cid:durableId="1432698811">
    <w:abstractNumId w:val="11"/>
  </w:num>
  <w:num w:numId="14" w16cid:durableId="1185678900">
    <w:abstractNumId w:val="19"/>
  </w:num>
  <w:num w:numId="15" w16cid:durableId="1150554953">
    <w:abstractNumId w:val="17"/>
  </w:num>
  <w:num w:numId="16" w16cid:durableId="1945191038">
    <w:abstractNumId w:val="18"/>
  </w:num>
  <w:num w:numId="17" w16cid:durableId="1262690546">
    <w:abstractNumId w:val="10"/>
  </w:num>
  <w:num w:numId="18" w16cid:durableId="1553082818">
    <w:abstractNumId w:val="14"/>
  </w:num>
  <w:num w:numId="19" w16cid:durableId="553541208">
    <w:abstractNumId w:val="15"/>
  </w:num>
  <w:num w:numId="20" w16cid:durableId="136723999">
    <w:abstractNumId w:val="12"/>
  </w:num>
  <w:num w:numId="21" w16cid:durableId="2140564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625"/>
    <w:rsid w:val="00067621"/>
    <w:rsid w:val="00084466"/>
    <w:rsid w:val="00084B1C"/>
    <w:rsid w:val="000901F0"/>
    <w:rsid w:val="000B13B1"/>
    <w:rsid w:val="000D17BE"/>
    <w:rsid w:val="000D6775"/>
    <w:rsid w:val="000E3BEC"/>
    <w:rsid w:val="00117D19"/>
    <w:rsid w:val="00122EB3"/>
    <w:rsid w:val="00132CA6"/>
    <w:rsid w:val="0014571A"/>
    <w:rsid w:val="00170D87"/>
    <w:rsid w:val="00177D49"/>
    <w:rsid w:val="00183022"/>
    <w:rsid w:val="001B65A4"/>
    <w:rsid w:val="001C065C"/>
    <w:rsid w:val="002506F6"/>
    <w:rsid w:val="0028051C"/>
    <w:rsid w:val="002A70D9"/>
    <w:rsid w:val="002B16B4"/>
    <w:rsid w:val="002B7443"/>
    <w:rsid w:val="002C4808"/>
    <w:rsid w:val="002C51BC"/>
    <w:rsid w:val="002D7520"/>
    <w:rsid w:val="002E0445"/>
    <w:rsid w:val="002E2CA2"/>
    <w:rsid w:val="002E5125"/>
    <w:rsid w:val="00307C9E"/>
    <w:rsid w:val="00315B26"/>
    <w:rsid w:val="00321A19"/>
    <w:rsid w:val="003472E1"/>
    <w:rsid w:val="0035045F"/>
    <w:rsid w:val="0037667F"/>
    <w:rsid w:val="00382AB6"/>
    <w:rsid w:val="00383712"/>
    <w:rsid w:val="003C2647"/>
    <w:rsid w:val="003C3CA5"/>
    <w:rsid w:val="003C62D6"/>
    <w:rsid w:val="003D2399"/>
    <w:rsid w:val="003E4A92"/>
    <w:rsid w:val="003F6A45"/>
    <w:rsid w:val="0040289D"/>
    <w:rsid w:val="00402D8F"/>
    <w:rsid w:val="0041516B"/>
    <w:rsid w:val="00432346"/>
    <w:rsid w:val="00447F3A"/>
    <w:rsid w:val="004759D9"/>
    <w:rsid w:val="0049068A"/>
    <w:rsid w:val="00493D23"/>
    <w:rsid w:val="004A3FC8"/>
    <w:rsid w:val="00503B57"/>
    <w:rsid w:val="005145BB"/>
    <w:rsid w:val="00517BFD"/>
    <w:rsid w:val="00542C1F"/>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24774"/>
    <w:rsid w:val="00627172"/>
    <w:rsid w:val="00646AF9"/>
    <w:rsid w:val="00656AB8"/>
    <w:rsid w:val="006609B6"/>
    <w:rsid w:val="00684E37"/>
    <w:rsid w:val="0068699D"/>
    <w:rsid w:val="006A353C"/>
    <w:rsid w:val="006A56FC"/>
    <w:rsid w:val="006B2D1C"/>
    <w:rsid w:val="006C1E1F"/>
    <w:rsid w:val="006E6FB5"/>
    <w:rsid w:val="007050F5"/>
    <w:rsid w:val="0071140F"/>
    <w:rsid w:val="00721457"/>
    <w:rsid w:val="00722C8F"/>
    <w:rsid w:val="00752A85"/>
    <w:rsid w:val="00753059"/>
    <w:rsid w:val="00763DE9"/>
    <w:rsid w:val="00781234"/>
    <w:rsid w:val="007B7AF3"/>
    <w:rsid w:val="008073EB"/>
    <w:rsid w:val="008179D5"/>
    <w:rsid w:val="008276A3"/>
    <w:rsid w:val="0083613E"/>
    <w:rsid w:val="00843027"/>
    <w:rsid w:val="00873917"/>
    <w:rsid w:val="00874EBC"/>
    <w:rsid w:val="0087514A"/>
    <w:rsid w:val="008853FF"/>
    <w:rsid w:val="00890CA9"/>
    <w:rsid w:val="00920AD3"/>
    <w:rsid w:val="009211D3"/>
    <w:rsid w:val="009322CF"/>
    <w:rsid w:val="00933173"/>
    <w:rsid w:val="00934124"/>
    <w:rsid w:val="00952A27"/>
    <w:rsid w:val="00977FA5"/>
    <w:rsid w:val="009D0A9E"/>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A281A"/>
    <w:rsid w:val="00BD28F5"/>
    <w:rsid w:val="00C05C55"/>
    <w:rsid w:val="00C076C6"/>
    <w:rsid w:val="00C1247F"/>
    <w:rsid w:val="00C137DA"/>
    <w:rsid w:val="00C20F69"/>
    <w:rsid w:val="00C3113F"/>
    <w:rsid w:val="00C43BAF"/>
    <w:rsid w:val="00C4536F"/>
    <w:rsid w:val="00C46ADA"/>
    <w:rsid w:val="00C83803"/>
    <w:rsid w:val="00C8438D"/>
    <w:rsid w:val="00C85025"/>
    <w:rsid w:val="00C918BD"/>
    <w:rsid w:val="00C94E59"/>
    <w:rsid w:val="00CA680A"/>
    <w:rsid w:val="00CE0951"/>
    <w:rsid w:val="00CF68A2"/>
    <w:rsid w:val="00D3779E"/>
    <w:rsid w:val="00D679E5"/>
    <w:rsid w:val="00D74391"/>
    <w:rsid w:val="00D83360"/>
    <w:rsid w:val="00D9404A"/>
    <w:rsid w:val="00DB7B85"/>
    <w:rsid w:val="00DD31B4"/>
    <w:rsid w:val="00DF7645"/>
    <w:rsid w:val="00E03323"/>
    <w:rsid w:val="00E047AD"/>
    <w:rsid w:val="00E12287"/>
    <w:rsid w:val="00E127A1"/>
    <w:rsid w:val="00E20E6D"/>
    <w:rsid w:val="00E252A8"/>
    <w:rsid w:val="00E3288E"/>
    <w:rsid w:val="00E355C2"/>
    <w:rsid w:val="00E53B95"/>
    <w:rsid w:val="00E62B2F"/>
    <w:rsid w:val="00E667D5"/>
    <w:rsid w:val="00E67A05"/>
    <w:rsid w:val="00E74AB7"/>
    <w:rsid w:val="00E81FE1"/>
    <w:rsid w:val="00E872F7"/>
    <w:rsid w:val="00E90203"/>
    <w:rsid w:val="00EA0405"/>
    <w:rsid w:val="00EC394A"/>
    <w:rsid w:val="00ED35D7"/>
    <w:rsid w:val="00ED61AB"/>
    <w:rsid w:val="00EF4C32"/>
    <w:rsid w:val="00EF69CD"/>
    <w:rsid w:val="00F02126"/>
    <w:rsid w:val="00F07AB3"/>
    <w:rsid w:val="00F262AB"/>
    <w:rsid w:val="00F7284D"/>
    <w:rsid w:val="00F94A2B"/>
    <w:rsid w:val="00FA00C6"/>
    <w:rsid w:val="00FC5F9E"/>
    <w:rsid w:val="00FE10AD"/>
    <w:rsid w:val="00FE32F7"/>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docId w15:val="{E6786268-5A4B-44B7-8DFD-9AC2CD9E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853FF"/>
    <w:pPr>
      <w:ind w:left="720"/>
      <w:contextualSpacing/>
    </w:pPr>
  </w:style>
  <w:style w:type="paragraph" w:customStyle="1" w:styleId="DataField11pt">
    <w:name w:val="Data Field 11pt"/>
    <w:basedOn w:val="Normal"/>
    <w:uiPriority w:val="99"/>
    <w:rsid w:val="00C83803"/>
    <w:pPr>
      <w:spacing w:line="300" w:lineRule="exact"/>
    </w:pPr>
    <w:rPr>
      <w:rFonts w:eastAsiaTheme="minorEastAs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C4255-D0AE-4A01-8E3A-30BD309F193C}">
  <ds:schemaRefs>
    <ds:schemaRef ds:uri="http://schemas.openxmlformats.org/officeDocument/2006/bibliography"/>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11152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Sara Campbell</cp:lastModifiedBy>
  <cp:revision>3</cp:revision>
  <cp:lastPrinted>2021-05-18T14:52:00Z</cp:lastPrinted>
  <dcterms:created xsi:type="dcterms:W3CDTF">2022-05-06T14:58:00Z</dcterms:created>
  <dcterms:modified xsi:type="dcterms:W3CDTF">2022-05-06T14:59:00Z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